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numPr>
          <w:ilvl w:val="0"/>
          <w:numId w:val="0"/>
        </w:numPr>
        <w:suppressAutoHyphens w:val="false"/>
        <w:spacing w:lineRule="auto" w:line="276" w:before="0" w:after="0"/>
        <w:ind w:hanging="0" w:left="0" w:right="0"/>
        <w:jc w:val="center"/>
        <w:rPr>
          <w:rFonts w:ascii="Verdana" w:hAnsi="Verdana"/>
          <w:sz w:val="20"/>
          <w:szCs w:val="20"/>
        </w:rPr>
      </w:pPr>
      <w:r>
        <w:rPr>
          <w:rFonts w:ascii="Verdana" w:hAnsi="Verdana"/>
          <w:b/>
          <w:bCs/>
          <w:color w:val="000000"/>
          <w:sz w:val="20"/>
          <w:szCs w:val="20"/>
        </w:rPr>
        <w:t>ANEXO I -</w:t>
      </w:r>
      <w:r>
        <w:rPr>
          <w:rFonts w:ascii="Verdana" w:hAnsi="Verdana"/>
          <w:b/>
          <w:bCs/>
          <w:color w:val="000000"/>
          <w:sz w:val="20"/>
          <w:szCs w:val="20"/>
        </w:rPr>
        <w:t xml:space="preserve"> TERMO DE REFERÊNCIA – LEI 14.133/21</w:t>
      </w:r>
    </w:p>
    <w:p>
      <w:pPr>
        <w:pStyle w:val="Normal"/>
        <w:spacing w:lineRule="auto" w:line="276" w:before="0" w:after="0"/>
        <w:ind w:left="0" w:right="0"/>
        <w:jc w:val="center"/>
        <w:rPr>
          <w:rFonts w:ascii="Verdana" w:hAnsi="Verdana" w:cs="Arial"/>
          <w:b/>
          <w:sz w:val="20"/>
          <w:szCs w:val="20"/>
          <w:u w:val="single"/>
        </w:rPr>
      </w:pPr>
      <w:r>
        <w:rPr>
          <w:rFonts w:cs="Arial" w:ascii="Verdana" w:hAnsi="Verdana"/>
          <w:b/>
          <w:sz w:val="20"/>
          <w:szCs w:val="20"/>
          <w:u w:val="single"/>
        </w:rPr>
      </w:r>
    </w:p>
    <w:p>
      <w:pPr>
        <w:pStyle w:val="Normal"/>
        <w:spacing w:lineRule="auto" w:line="276" w:before="0" w:after="0"/>
        <w:ind w:left="0" w:right="0"/>
        <w:jc w:val="center"/>
        <w:rPr>
          <w:rFonts w:ascii="Verdana" w:hAnsi="Verdana"/>
          <w:sz w:val="20"/>
          <w:szCs w:val="20"/>
        </w:rPr>
      </w:pPr>
      <w:r>
        <w:rPr>
          <w:rFonts w:ascii="Verdana" w:hAnsi="Verdana"/>
          <w:b/>
          <w:bCs/>
          <w:iCs/>
          <w:color w:val="000000"/>
          <w:sz w:val="20"/>
          <w:szCs w:val="20"/>
        </w:rPr>
        <w:t xml:space="preserve">REGISTRO DE PREÇOS – </w:t>
      </w:r>
      <w:r>
        <w:rPr>
          <w:rFonts w:eastAsia="Times New Roman" w:cs="Arial" w:ascii="Verdana" w:hAnsi="Verdana"/>
          <w:b w:val="false"/>
          <w:bCs w:val="false"/>
          <w:iCs/>
          <w:color w:val="000000"/>
          <w:sz w:val="20"/>
          <w:szCs w:val="20"/>
          <w:u w:val="none"/>
        </w:rPr>
        <w:t xml:space="preserve">AQUISIÇÃO DE </w:t>
      </w:r>
      <w:r>
        <w:rPr>
          <w:rFonts w:eastAsia="Times New Roman" w:cs="Arial" w:ascii="Verdana" w:hAnsi="Verdana"/>
          <w:b/>
          <w:bCs w:val="false"/>
          <w:iCs/>
          <w:color w:val="000000"/>
          <w:sz w:val="20"/>
          <w:szCs w:val="20"/>
          <w:u w:val="single"/>
        </w:rPr>
        <w:t>CÂMARA FRIA PARA CONSERVAÇÃO DE IMUNOLÓGICOS</w:t>
      </w:r>
    </w:p>
    <w:p>
      <w:pPr>
        <w:pStyle w:val="Normal"/>
        <w:spacing w:lineRule="auto" w:line="276" w:before="0" w:after="0"/>
        <w:ind w:left="0" w:right="0"/>
        <w:jc w:val="center"/>
        <w:rPr>
          <w:rFonts w:ascii="Verdana" w:hAnsi="Verdana" w:cs="Arial"/>
          <w:b/>
          <w:sz w:val="20"/>
          <w:szCs w:val="20"/>
          <w:u w:val="single"/>
        </w:rPr>
      </w:pPr>
      <w:r>
        <w:rPr>
          <w:rFonts w:cs="Arial" w:ascii="Verdana" w:hAnsi="Verdana"/>
          <w:b/>
          <w:sz w:val="20"/>
          <w:szCs w:val="20"/>
          <w:u w:val="single"/>
        </w:rPr>
      </w:r>
    </w:p>
    <w:p>
      <w:pPr>
        <w:pStyle w:val="Normal"/>
        <w:spacing w:lineRule="auto" w:line="276" w:before="0" w:after="0"/>
        <w:ind w:left="0" w:right="0"/>
        <w:jc w:val="center"/>
        <w:rPr>
          <w:rFonts w:ascii="Verdana" w:hAnsi="Verdana"/>
          <w:sz w:val="20"/>
          <w:szCs w:val="20"/>
        </w:rPr>
      </w:pPr>
      <w:r>
        <w:rPr>
          <w:rFonts w:cs="Arial" w:ascii="Verdana" w:hAnsi="Verdana"/>
          <w:b/>
          <w:bCs/>
          <w:i w:val="false"/>
          <w:iCs w:val="false"/>
          <w:color w:val="000000"/>
          <w:sz w:val="20"/>
          <w:szCs w:val="20"/>
        </w:rPr>
        <w:t xml:space="preserve">Processo Administrativo nº </w:t>
      </w:r>
      <w:r>
        <w:rPr>
          <w:rFonts w:cs="Arial" w:ascii="Verdana" w:hAnsi="Verdana"/>
          <w:b/>
          <w:bCs/>
          <w:i w:val="false"/>
          <w:iCs w:val="false"/>
          <w:color w:val="000000"/>
          <w:sz w:val="20"/>
          <w:szCs w:val="20"/>
        </w:rPr>
        <w:t>5809</w:t>
      </w:r>
      <w:r>
        <w:rPr>
          <w:rFonts w:cs="Arial" w:ascii="Verdana" w:hAnsi="Verdana"/>
          <w:b/>
          <w:bCs/>
          <w:i w:val="false"/>
          <w:iCs w:val="false"/>
          <w:color w:val="000000"/>
          <w:sz w:val="20"/>
          <w:szCs w:val="20"/>
        </w:rPr>
        <w:t xml:space="preserve">/2024 de </w:t>
      </w:r>
      <w:r>
        <w:rPr>
          <w:rFonts w:cs="Arial" w:ascii="Verdana" w:hAnsi="Verdana"/>
          <w:b/>
          <w:bCs/>
          <w:i w:val="false"/>
          <w:iCs w:val="false"/>
          <w:color w:val="000000"/>
          <w:sz w:val="20"/>
          <w:szCs w:val="20"/>
        </w:rPr>
        <w:t>06</w:t>
      </w:r>
      <w:r>
        <w:rPr>
          <w:rFonts w:cs="Arial" w:ascii="Verdana" w:hAnsi="Verdana"/>
          <w:b/>
          <w:bCs/>
          <w:i w:val="false"/>
          <w:iCs w:val="false"/>
          <w:color w:val="000000"/>
          <w:sz w:val="20"/>
          <w:szCs w:val="20"/>
        </w:rPr>
        <w:t xml:space="preserve"> de agosto de 2024 (Secretaria Municipal de Saúde)</w:t>
      </w:r>
    </w:p>
    <w:p>
      <w:pPr>
        <w:pStyle w:val="Normal"/>
        <w:spacing w:lineRule="auto" w:line="276" w:before="0" w:after="0"/>
        <w:ind w:left="0" w:right="0"/>
        <w:jc w:val="center"/>
        <w:rPr>
          <w:rFonts w:ascii="Verdana" w:hAnsi="Verdana" w:cs="Arial"/>
          <w:b/>
          <w:sz w:val="20"/>
          <w:szCs w:val="20"/>
          <w:u w:val="single"/>
        </w:rPr>
      </w:pPr>
      <w:r>
        <w:rPr>
          <w:rFonts w:cs="Arial" w:ascii="Verdana" w:hAnsi="Verdana"/>
          <w:b/>
          <w:sz w:val="20"/>
          <w:szCs w:val="20"/>
          <w:u w:val="single"/>
        </w:rPr>
      </w:r>
    </w:p>
    <w:p>
      <w:pPr>
        <w:pStyle w:val="Nivel1"/>
        <w:spacing w:lineRule="auto" w:line="276" w:before="85" w:after="85"/>
        <w:ind w:hanging="0" w:left="0" w:right="0"/>
        <w:rPr>
          <w:rFonts w:ascii="Verdana" w:hAnsi="Verdana"/>
          <w:sz w:val="20"/>
          <w:szCs w:val="20"/>
        </w:rPr>
      </w:pPr>
      <w:r>
        <w:rPr>
          <w:rFonts w:cs="Times New Roman" w:ascii="Verdana" w:hAnsi="Verdana"/>
          <w:bCs/>
          <w:sz w:val="20"/>
          <w:szCs w:val="20"/>
        </w:rPr>
        <w:t>1. DAS CONDIÇÕES GERAIS DA AQUISIÇÃO</w:t>
      </w:r>
    </w:p>
    <w:p>
      <w:pPr>
        <w:pStyle w:val="ListParagraph"/>
        <w:tabs>
          <w:tab w:val="clear" w:pos="708"/>
          <w:tab w:val="left" w:pos="0" w:leader="none"/>
        </w:tabs>
        <w:suppressAutoHyphens w:val="false"/>
        <w:spacing w:lineRule="auto" w:line="276" w:before="85" w:after="85"/>
        <w:ind w:hanging="0" w:left="0" w:right="0"/>
        <w:contextualSpacing w:val="false"/>
        <w:jc w:val="both"/>
        <w:rPr>
          <w:rFonts w:ascii="Verdana" w:hAnsi="Verdana"/>
          <w:sz w:val="20"/>
          <w:szCs w:val="20"/>
        </w:rPr>
      </w:pPr>
      <w:r>
        <w:rPr>
          <w:rFonts w:ascii="Verdana" w:hAnsi="Verdana"/>
          <w:b w:val="false"/>
          <w:bCs w:val="false"/>
          <w:iCs/>
          <w:sz w:val="20"/>
          <w:szCs w:val="20"/>
        </w:rPr>
        <w:t>1.1 Abertura de Processo Licitatório  - Registro de preços</w:t>
      </w:r>
      <w:r>
        <w:rPr>
          <w:rFonts w:ascii="Verdana" w:hAnsi="Verdana"/>
          <w:b/>
          <w:bCs/>
          <w:iCs/>
          <w:sz w:val="20"/>
          <w:szCs w:val="20"/>
        </w:rPr>
        <w:t xml:space="preserve"> </w:t>
      </w:r>
      <w:r>
        <w:rPr>
          <w:rFonts w:ascii="Verdana" w:hAnsi="Verdana"/>
          <w:iCs/>
          <w:sz w:val="20"/>
          <w:szCs w:val="20"/>
        </w:rPr>
        <w:t xml:space="preserve">para aquisição de equipamento hospitalar – câmara fria para conservação de imunológicos atendendo as necessidades </w:t>
      </w:r>
      <w:r>
        <w:rPr>
          <w:rFonts w:eastAsia="Times New Roman" w:cs="Times New Roman" w:ascii="Verdana" w:hAnsi="Verdana"/>
          <w:iCs/>
          <w:color w:val="000000"/>
          <w:sz w:val="20"/>
          <w:szCs w:val="20"/>
        </w:rPr>
        <w:t>da Secretaria Municipal de Saúde dessa municipalidade.</w:t>
      </w:r>
    </w:p>
    <w:p>
      <w:pPr>
        <w:pStyle w:val="ListParagraph"/>
        <w:tabs>
          <w:tab w:val="clear" w:pos="708"/>
          <w:tab w:val="left" w:pos="0" w:leader="none"/>
        </w:tabs>
        <w:suppressAutoHyphens w:val="false"/>
        <w:spacing w:lineRule="auto" w:line="276" w:before="85" w:after="85"/>
        <w:ind w:hanging="0" w:left="0" w:right="0"/>
        <w:contextualSpacing w:val="false"/>
        <w:jc w:val="both"/>
        <w:rPr>
          <w:rFonts w:ascii="Verdana" w:hAnsi="Verdana" w:cs="Arial"/>
          <w:b/>
          <w:sz w:val="16"/>
          <w:szCs w:val="16"/>
          <w:u w:val="single"/>
        </w:rPr>
      </w:pPr>
      <w:r>
        <w:rPr>
          <w:rFonts w:cs="Arial" w:ascii="Verdana" w:hAnsi="Verdana"/>
          <w:b/>
          <w:sz w:val="16"/>
          <w:szCs w:val="16"/>
          <w:u w:val="single"/>
        </w:rPr>
      </w:r>
    </w:p>
    <w:tbl>
      <w:tblPr>
        <w:tblW w:w="9401" w:type="dxa"/>
        <w:jc w:val="center"/>
        <w:tblInd w:w="0" w:type="dxa"/>
        <w:tblLayout w:type="fixed"/>
        <w:tblCellMar>
          <w:top w:w="0" w:type="dxa"/>
          <w:left w:w="70" w:type="dxa"/>
          <w:bottom w:w="0" w:type="dxa"/>
          <w:right w:w="70" w:type="dxa"/>
        </w:tblCellMar>
      </w:tblPr>
      <w:tblGrid>
        <w:gridCol w:w="705"/>
        <w:gridCol w:w="4245"/>
        <w:gridCol w:w="915"/>
        <w:gridCol w:w="675"/>
        <w:gridCol w:w="1365"/>
        <w:gridCol w:w="1496"/>
      </w:tblGrid>
      <w:tr>
        <w:trPr>
          <w:trHeight w:val="269" w:hRule="atLeast"/>
        </w:trPr>
        <w:tc>
          <w:tcPr>
            <w:tcW w:w="7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before="0" w:after="0"/>
              <w:ind w:left="0" w:right="0"/>
              <w:jc w:val="center"/>
              <w:rPr>
                <w:rFonts w:ascii="Verdana" w:hAnsi="Verdana"/>
                <w:sz w:val="20"/>
                <w:szCs w:val="20"/>
              </w:rPr>
            </w:pPr>
            <w:r>
              <w:rPr>
                <w:rFonts w:cs="Arial" w:ascii="Verdana" w:hAnsi="Verdana"/>
                <w:b/>
                <w:bCs/>
                <w:sz w:val="20"/>
                <w:szCs w:val="20"/>
              </w:rPr>
              <w:t>Item</w:t>
            </w:r>
          </w:p>
        </w:tc>
        <w:tc>
          <w:tcPr>
            <w:tcW w:w="424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before="0" w:after="0"/>
              <w:ind w:left="0" w:right="0"/>
              <w:jc w:val="center"/>
              <w:rPr>
                <w:rFonts w:ascii="Verdana" w:hAnsi="Verdana"/>
                <w:sz w:val="20"/>
                <w:szCs w:val="20"/>
              </w:rPr>
            </w:pPr>
            <w:r>
              <w:rPr>
                <w:rFonts w:cs="Arial" w:ascii="Verdana" w:hAnsi="Verdana"/>
                <w:b/>
                <w:bCs/>
                <w:sz w:val="20"/>
                <w:szCs w:val="20"/>
              </w:rPr>
              <w:t>Descrição</w:t>
            </w:r>
          </w:p>
        </w:tc>
        <w:tc>
          <w:tcPr>
            <w:tcW w:w="915" w:type="dxa"/>
            <w:tcBorders>
              <w:top w:val="single" w:sz="4" w:space="0" w:color="000000"/>
              <w:left w:val="single" w:sz="4" w:space="0" w:color="000000"/>
              <w:bottom w:val="single" w:sz="4" w:space="0" w:color="000000"/>
            </w:tcBorders>
            <w:vAlign w:val="center"/>
          </w:tcPr>
          <w:p>
            <w:pPr>
              <w:pStyle w:val="Normal"/>
              <w:widowControl w:val="false"/>
              <w:tabs>
                <w:tab w:val="clear" w:pos="708"/>
              </w:tabs>
              <w:spacing w:lineRule="auto" w:line="240" w:before="0" w:after="0"/>
              <w:ind w:left="0" w:right="0"/>
              <w:jc w:val="center"/>
              <w:rPr>
                <w:rFonts w:ascii="Verdana" w:hAnsi="Verdana"/>
                <w:sz w:val="20"/>
                <w:szCs w:val="20"/>
              </w:rPr>
            </w:pPr>
            <w:r>
              <w:rPr>
                <w:rFonts w:cs="Arial" w:ascii="Verdana" w:hAnsi="Verdana"/>
                <w:b/>
                <w:bCs/>
                <w:sz w:val="20"/>
                <w:szCs w:val="20"/>
              </w:rPr>
              <w:t>Quant.</w:t>
            </w:r>
          </w:p>
        </w:tc>
        <w:tc>
          <w:tcPr>
            <w:tcW w:w="675" w:type="dxa"/>
            <w:tcBorders>
              <w:top w:val="single" w:sz="4" w:space="0" w:color="000000"/>
              <w:left w:val="single" w:sz="4" w:space="0" w:color="000000"/>
              <w:bottom w:val="single" w:sz="4" w:space="0" w:color="000000"/>
            </w:tcBorders>
            <w:vAlign w:val="center"/>
          </w:tcPr>
          <w:p>
            <w:pPr>
              <w:pStyle w:val="Normal"/>
              <w:widowControl w:val="false"/>
              <w:tabs>
                <w:tab w:val="clear" w:pos="708"/>
              </w:tabs>
              <w:spacing w:lineRule="auto" w:line="240" w:before="0" w:after="0"/>
              <w:ind w:left="0" w:right="0"/>
              <w:jc w:val="center"/>
              <w:rPr>
                <w:rFonts w:ascii="Verdana" w:hAnsi="Verdana"/>
                <w:sz w:val="20"/>
                <w:szCs w:val="20"/>
                <w:u w:val="none"/>
              </w:rPr>
            </w:pPr>
            <w:r>
              <w:rPr>
                <w:rFonts w:cs="Arial" w:ascii="Verdana" w:hAnsi="Verdana"/>
                <w:b/>
                <w:bCs/>
                <w:sz w:val="20"/>
                <w:szCs w:val="20"/>
                <w:u w:val="none"/>
              </w:rPr>
              <w:t>U</w:t>
            </w:r>
            <w:r>
              <w:rPr>
                <w:rFonts w:cs="Arial" w:ascii="Verdana" w:hAnsi="Verdana"/>
                <w:b/>
                <w:bCs/>
                <w:sz w:val="20"/>
                <w:szCs w:val="20"/>
                <w:u w:val="none"/>
              </w:rPr>
              <w:t>nd.</w:t>
            </w:r>
          </w:p>
        </w:tc>
        <w:tc>
          <w:tcPr>
            <w:tcW w:w="13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before="0" w:after="0"/>
              <w:ind w:left="0" w:right="0"/>
              <w:jc w:val="center"/>
              <w:rPr>
                <w:rFonts w:ascii="Verdana" w:hAnsi="Verdana"/>
                <w:sz w:val="20"/>
                <w:szCs w:val="20"/>
              </w:rPr>
            </w:pPr>
            <w:r>
              <w:rPr>
                <w:rFonts w:cs="Arial" w:ascii="Verdana" w:hAnsi="Verdana"/>
                <w:b/>
                <w:bCs/>
                <w:sz w:val="20"/>
                <w:szCs w:val="20"/>
              </w:rPr>
              <w:t>Preço unitário</w:t>
            </w:r>
            <w:r>
              <w:rPr>
                <w:rFonts w:cs="Arial" w:ascii="Verdana" w:hAnsi="Verdana"/>
                <w:b/>
                <w:bCs/>
                <w:sz w:val="20"/>
                <w:szCs w:val="20"/>
                <w:u w:val="single"/>
              </w:rPr>
              <w:t xml:space="preserve"> </w:t>
            </w:r>
            <w:r>
              <w:rPr>
                <w:rFonts w:cs="Arial" w:ascii="Verdana" w:hAnsi="Verdana"/>
                <w:b/>
                <w:bCs/>
                <w:sz w:val="20"/>
                <w:szCs w:val="20"/>
                <w:u w:val="none"/>
              </w:rPr>
              <w:t>estimado</w:t>
            </w:r>
          </w:p>
        </w:tc>
        <w:tc>
          <w:tcPr>
            <w:tcW w:w="149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before="0" w:after="0"/>
              <w:ind w:left="0" w:right="0"/>
              <w:jc w:val="center"/>
              <w:rPr>
                <w:rFonts w:ascii="Verdana" w:hAnsi="Verdana"/>
                <w:sz w:val="20"/>
                <w:szCs w:val="20"/>
              </w:rPr>
            </w:pPr>
            <w:r>
              <w:rPr>
                <w:rFonts w:cs="Arial" w:ascii="Verdana" w:hAnsi="Verdana"/>
                <w:b/>
                <w:bCs/>
                <w:sz w:val="20"/>
                <w:szCs w:val="20"/>
              </w:rPr>
              <w:t>Preço total</w:t>
            </w:r>
            <w:r>
              <w:rPr>
                <w:rFonts w:cs="Arial" w:ascii="Verdana" w:hAnsi="Verdana"/>
                <w:b/>
                <w:bCs/>
                <w:sz w:val="20"/>
                <w:szCs w:val="20"/>
                <w:u w:val="single"/>
              </w:rPr>
              <w:t xml:space="preserve"> </w:t>
            </w:r>
            <w:r>
              <w:rPr>
                <w:rFonts w:cs="Arial" w:ascii="Verdana" w:hAnsi="Verdana"/>
                <w:b/>
                <w:bCs/>
                <w:sz w:val="20"/>
                <w:szCs w:val="20"/>
                <w:u w:val="none"/>
              </w:rPr>
              <w:t>estimado</w:t>
            </w:r>
          </w:p>
        </w:tc>
      </w:tr>
      <w:tr>
        <w:trPr>
          <w:trHeight w:val="269" w:hRule="atLeast"/>
        </w:trPr>
        <w:tc>
          <w:tcPr>
            <w:tcW w:w="705"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40" w:before="0" w:after="0"/>
              <w:ind w:left="0" w:right="0"/>
              <w:jc w:val="center"/>
              <w:rPr>
                <w:rFonts w:ascii="Verdana" w:hAnsi="Verdana"/>
                <w:sz w:val="20"/>
                <w:szCs w:val="20"/>
              </w:rPr>
            </w:pPr>
            <w:r>
              <w:rPr>
                <w:rFonts w:cs="Arial" w:ascii="Verdana" w:hAnsi="Verdana"/>
                <w:b w:val="false"/>
                <w:bCs w:val="false"/>
                <w:sz w:val="20"/>
                <w:szCs w:val="20"/>
                <w:u w:val="none"/>
              </w:rPr>
              <w:t>01</w:t>
            </w:r>
          </w:p>
        </w:tc>
        <w:tc>
          <w:tcPr>
            <w:tcW w:w="4245" w:type="dxa"/>
            <w:tcBorders>
              <w:left w:val="single" w:sz="4" w:space="0" w:color="000000"/>
              <w:bottom w:val="single" w:sz="4" w:space="0" w:color="000000"/>
              <w:right w:val="single" w:sz="4" w:space="0" w:color="000000"/>
            </w:tcBorders>
            <w:vAlign w:val="center"/>
          </w:tcPr>
          <w:p>
            <w:pPr>
              <w:pStyle w:val="PargrafodaLista"/>
              <w:widowControl w:val="false"/>
              <w:spacing w:lineRule="auto" w:line="240" w:before="0" w:after="0"/>
              <w:ind w:hanging="0" w:left="0" w:right="0"/>
              <w:contextualSpacing w:val="false"/>
              <w:jc w:val="both"/>
              <w:rPr>
                <w:rFonts w:ascii="Verdana" w:hAnsi="Verdana"/>
                <w:sz w:val="20"/>
                <w:szCs w:val="20"/>
              </w:rPr>
            </w:pPr>
            <w:r>
              <w:rPr>
                <w:rFonts w:cs="Arial" w:ascii="Verdana" w:hAnsi="Verdana"/>
                <w:b w:val="false"/>
                <w:bCs w:val="false"/>
                <w:i w:val="false"/>
                <w:caps w:val="false"/>
                <w:smallCaps w:val="false"/>
                <w:color w:val="000000"/>
                <w:spacing w:val="0"/>
                <w:sz w:val="20"/>
                <w:szCs w:val="20"/>
                <w:shd w:fill="FFFFFF" w:val="clear"/>
              </w:rPr>
              <w:t>C</w:t>
            </w:r>
            <w:r>
              <w:rPr>
                <w:rFonts w:cs="Arial" w:ascii="Verdana" w:hAnsi="Verdana"/>
                <w:b w:val="false"/>
                <w:bCs w:val="false"/>
                <w:sz w:val="20"/>
                <w:szCs w:val="20"/>
              </w:rPr>
              <w:t>ÂMARA FRIA VERTICAL – 120 LITROS Equipamento COM AS SEGUINTES ESPECIFICAÇÕES MÍNIMAS:</w:t>
            </w:r>
          </w:p>
          <w:p>
            <w:pPr>
              <w:pStyle w:val="Normal"/>
              <w:widowControl w:val="false"/>
              <w:snapToGrid w:val="false"/>
              <w:spacing w:lineRule="auto" w:line="240" w:before="0" w:after="0"/>
              <w:ind w:hanging="0" w:left="0" w:right="0"/>
              <w:jc w:val="both"/>
              <w:rPr>
                <w:rFonts w:ascii="Verdana" w:hAnsi="Verdana"/>
                <w:sz w:val="20"/>
                <w:szCs w:val="20"/>
              </w:rPr>
            </w:pPr>
            <w:r>
              <w:rPr>
                <w:rFonts w:cs="Arial" w:ascii="Verdana" w:hAnsi="Verdana"/>
                <w:b w:val="false"/>
                <w:bCs w:val="false"/>
                <w:sz w:val="20"/>
                <w:szCs w:val="20"/>
              </w:rPr>
              <w:t>Câmara de vacina de 120 litros. Câmara de vacina equipamento de rede de frio para imunológico. Equipamento vertical de formato externo e interno retangular, desenvolvido especificamente para a guarda científica de VACINAS – capacidade para armazenamento mínimo de 120 litros úteis ou 8.100 doses de 5 ml – Refrigeração por compressor hermético, selado, de baixo consumo de energia, com sistema de circulação forçado de ar interno, garantindo uma maior homogeneidade na temperatura interna – Degelo automático seco com evaporação de condensado sem trabalho adicional – Câmara interna em aço inoxidável para longa vida útil e perfeita assepsia – Equipamento com blocos criogênicos para manutenção inercial da temperatura na falta de energia elétrica – Duas (02) gavetas deslizantes fabricadas em aço inoxidável com contra ports em acrílico – Isolamento térmico de 70 mm nas paredes em poliuretano injetado expandido livre de CFC – Equipamento com 4 rodízios especiais com freio na parte frontal para fácil travamento – Painel de comandos e controles frontal superior de fácil acesso, com sistema microprocessador pelo display em LCD, programável de 2º C a 8º C com temperatura controlada automaticamente a 4º C por solução diatérmica, apresentando simultaneamente a visualização das temperaturas de momento, máxima e mínima, descrição de eventos e nível de carga da bateria – Refrigerador ou sistema com pen drive diretamente no equipamento para registro de temperatura, eventos ou relatórios, sem utilizar software ou computador externo – Iluminação interna temporizada em Led de alta capacidade e vida útil, acionamento na abertura da porta ou externamente sem abrir a porta – Sistema de alarme visual e sonoro de máxima e mínima temperatura, falta de energia ou porta aberta dotado de bateria recarregável – Silenciador do alarme sonoro, de apenas um toque – Sistema de segurança analógico em redundância garantindo perfeito funcionamento do equipamento – Manual do proprietário em português – Tampa frontal basculante para limpeza do sistema mecânico e filtros – Chave geral de energia liga desliga – Equipamento disponível em 110 ou 220 volts, 50/60 Hz – Sistema de alarme remoto à distância por discadora, com memórias de números telefônicos prefixados – Sistema de emergência na falta de energia com autonomia de 24,36,48 horas (de acordo com cada equipamento) por baterias recarregáveis acoplado ao corpo do produto – Saída serial RS232/485 com conector DB-25, software, sistema de monitoramento por computador com emissão de relatório e controle de produto de Interface – Medidas externas aproximadas: Altura:1300 a 1400 mm/Largura: 550 a 650 mm/Profundidade: 630 a 420 mm</w:t>
            </w:r>
          </w:p>
        </w:tc>
        <w:tc>
          <w:tcPr>
            <w:tcW w:w="915" w:type="dxa"/>
            <w:tcBorders>
              <w:left w:val="single" w:sz="4" w:space="0" w:color="000000"/>
              <w:bottom w:val="single" w:sz="4" w:space="0" w:color="000000"/>
            </w:tcBorders>
            <w:vAlign w:val="center"/>
          </w:tcPr>
          <w:p>
            <w:pPr>
              <w:pStyle w:val="Normal"/>
              <w:widowControl w:val="false"/>
              <w:spacing w:lineRule="auto" w:line="240" w:before="0" w:after="0"/>
              <w:ind w:left="0" w:right="0"/>
              <w:jc w:val="center"/>
              <w:rPr>
                <w:rFonts w:ascii="Verdana" w:hAnsi="Verdana"/>
                <w:sz w:val="20"/>
                <w:szCs w:val="20"/>
              </w:rPr>
            </w:pPr>
            <w:r>
              <w:rPr>
                <w:rFonts w:eastAsia="Times New Roman" w:cs="Times New Roman" w:ascii="Verdana" w:hAnsi="Verdana"/>
                <w:sz w:val="20"/>
                <w:szCs w:val="20"/>
                <w:lang w:val="pt-BR"/>
              </w:rPr>
              <w:t>10</w:t>
            </w:r>
          </w:p>
        </w:tc>
        <w:tc>
          <w:tcPr>
            <w:tcW w:w="675" w:type="dxa"/>
            <w:tcBorders>
              <w:left w:val="single" w:sz="4" w:space="0" w:color="000000"/>
              <w:bottom w:val="single" w:sz="4" w:space="0" w:color="000000"/>
            </w:tcBorders>
            <w:vAlign w:val="center"/>
          </w:tcPr>
          <w:p>
            <w:pPr>
              <w:pStyle w:val="Normal"/>
              <w:widowControl w:val="false"/>
              <w:spacing w:lineRule="auto" w:line="240" w:before="0" w:after="0"/>
              <w:ind w:left="0" w:right="0"/>
              <w:jc w:val="center"/>
              <w:rPr>
                <w:rFonts w:ascii="Verdana" w:hAnsi="Verdana"/>
                <w:sz w:val="20"/>
                <w:szCs w:val="20"/>
              </w:rPr>
            </w:pPr>
            <w:r>
              <w:rPr>
                <w:rFonts w:eastAsia="Times New Roman" w:cs="Times New Roman" w:ascii="Verdana" w:hAnsi="Verdana"/>
                <w:sz w:val="20"/>
                <w:szCs w:val="20"/>
                <w:lang w:val="pt-BR"/>
              </w:rPr>
              <w:t>UND</w:t>
            </w:r>
          </w:p>
        </w:tc>
        <w:tc>
          <w:tcPr>
            <w:tcW w:w="136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ind w:left="0" w:right="0"/>
              <w:jc w:val="center"/>
              <w:rPr>
                <w:rFonts w:ascii="Verdana" w:hAnsi="Verdana"/>
                <w:sz w:val="20"/>
                <w:szCs w:val="20"/>
              </w:rPr>
            </w:pPr>
            <w:r>
              <w:rPr>
                <w:rFonts w:ascii="Verdana" w:hAnsi="Verdana"/>
                <w:sz w:val="20"/>
                <w:szCs w:val="20"/>
              </w:rPr>
              <w:t>R$9.585,00</w:t>
            </w:r>
          </w:p>
        </w:tc>
        <w:tc>
          <w:tcPr>
            <w:tcW w:w="149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ind w:left="0" w:right="0"/>
              <w:jc w:val="center"/>
              <w:rPr>
                <w:rFonts w:ascii="Verdana" w:hAnsi="Verdana"/>
                <w:sz w:val="20"/>
                <w:szCs w:val="20"/>
              </w:rPr>
            </w:pPr>
            <w:r>
              <w:rPr>
                <w:rFonts w:ascii="Verdana" w:hAnsi="Verdana"/>
                <w:sz w:val="20"/>
                <w:szCs w:val="20"/>
              </w:rPr>
              <w:t>R$95.850,00</w:t>
            </w:r>
          </w:p>
        </w:tc>
      </w:tr>
      <w:tr>
        <w:trPr>
          <w:trHeight w:val="350" w:hRule="atLeast"/>
        </w:trPr>
        <w:tc>
          <w:tcPr>
            <w:tcW w:w="9401" w:type="dxa"/>
            <w:gridSpan w:val="6"/>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before="0" w:after="0"/>
              <w:ind w:left="0" w:right="0"/>
              <w:jc w:val="right"/>
              <w:rPr>
                <w:rFonts w:ascii="Verdana" w:hAnsi="Verdana"/>
                <w:sz w:val="20"/>
                <w:szCs w:val="20"/>
              </w:rPr>
            </w:pPr>
            <w:r>
              <w:rPr>
                <w:rFonts w:cs="Arial" w:ascii="Verdana" w:hAnsi="Verdana"/>
                <w:b/>
                <w:bCs/>
                <w:sz w:val="20"/>
                <w:szCs w:val="20"/>
              </w:rPr>
              <w:t>VALOR ESTIMADO TOTAL R$ 95.850,00</w:t>
            </w:r>
          </w:p>
        </w:tc>
      </w:tr>
    </w:tbl>
    <w:p>
      <w:pPr>
        <w:pStyle w:val="Normal"/>
        <w:suppressAutoHyphens w:val="false"/>
        <w:spacing w:lineRule="auto" w:line="276" w:before="85" w:after="85"/>
        <w:ind w:hanging="0" w:left="0" w:right="0"/>
        <w:jc w:val="both"/>
        <w:rPr>
          <w:rFonts w:ascii="Verdana" w:hAnsi="Verdana"/>
          <w:sz w:val="20"/>
          <w:szCs w:val="20"/>
        </w:rPr>
      </w:pPr>
      <w:r>
        <w:rPr>
          <w:rFonts w:ascii="Verdana" w:hAnsi="Verdana"/>
          <w:b w:val="false"/>
          <w:bCs w:val="false"/>
          <w:iCs/>
          <w:sz w:val="20"/>
          <w:szCs w:val="20"/>
        </w:rPr>
        <w:t>1.2</w:t>
      </w:r>
      <w:bookmarkStart w:id="0" w:name="art23§712"/>
      <w:r>
        <w:rPr>
          <w:rFonts w:ascii="Verdana" w:hAnsi="Verdana"/>
          <w:b w:val="false"/>
          <w:bCs w:val="false"/>
          <w:iCs/>
          <w:sz w:val="20"/>
          <w:szCs w:val="20"/>
        </w:rPr>
        <w:t>. Os equipamentos propostos deverão, obrigatoriamente, atender as exigências de qualidade, observados os padrões e normas baixadas pelos órgãos competentes de controle e fiscalização de qualidade industrial ou equiparadas.</w:t>
      </w:r>
      <w:bookmarkStart w:id="1" w:name="art23§711"/>
    </w:p>
    <w:p>
      <w:pPr>
        <w:pStyle w:val="ListParagraph"/>
        <w:suppressAutoHyphens w:val="false"/>
        <w:spacing w:lineRule="auto" w:line="276" w:before="85" w:after="85"/>
        <w:ind w:hanging="0" w:left="0" w:right="0"/>
        <w:contextualSpacing w:val="false"/>
        <w:jc w:val="both"/>
        <w:rPr>
          <w:rFonts w:ascii="Verdana" w:hAnsi="Verdana"/>
          <w:sz w:val="20"/>
          <w:szCs w:val="20"/>
        </w:rPr>
      </w:pPr>
      <w:r>
        <w:rPr>
          <w:rFonts w:ascii="Verdana" w:hAnsi="Verdana"/>
          <w:b w:val="false"/>
          <w:bCs w:val="false"/>
          <w:iCs/>
          <w:sz w:val="20"/>
          <w:szCs w:val="20"/>
        </w:rPr>
        <w:t>1.3.</w:t>
      </w:r>
      <w:r>
        <w:rPr>
          <w:rFonts w:ascii="Verdana" w:hAnsi="Verdana"/>
          <w:b w:val="false"/>
          <w:bCs w:val="false"/>
          <w:iCs/>
          <w:sz w:val="20"/>
          <w:szCs w:val="20"/>
          <w:u w:val="none"/>
        </w:rPr>
        <w:t xml:space="preserve"> </w:t>
      </w:r>
      <w:r>
        <w:rPr>
          <w:rFonts w:cs="Arial" w:ascii="Verdana" w:hAnsi="Verdana"/>
          <w:b w:val="false"/>
          <w:bCs w:val="false"/>
          <w:iCs/>
          <w:color w:val="000000"/>
          <w:sz w:val="20"/>
          <w:szCs w:val="20"/>
          <w:u w:val="none"/>
        </w:rPr>
        <w:t xml:space="preserve">O prazo de vigência da </w:t>
      </w:r>
      <w:r>
        <w:rPr>
          <w:rFonts w:eastAsia="Times New Roman" w:cs="Arial" w:ascii="Verdana" w:hAnsi="Verdana"/>
          <w:b w:val="false"/>
          <w:bCs w:val="false"/>
          <w:iCs/>
          <w:color w:val="000000"/>
          <w:sz w:val="20"/>
          <w:szCs w:val="20"/>
          <w:u w:val="none"/>
        </w:rPr>
        <w:t>aquisição</w:t>
      </w:r>
      <w:r>
        <w:rPr>
          <w:rFonts w:cs="Arial" w:ascii="Verdana" w:hAnsi="Verdana"/>
          <w:b w:val="false"/>
          <w:bCs w:val="false"/>
          <w:iCs/>
          <w:color w:val="000000"/>
          <w:sz w:val="20"/>
          <w:szCs w:val="20"/>
          <w:u w:val="none"/>
        </w:rPr>
        <w:t xml:space="preserve"> será de 01 (</w:t>
      </w:r>
      <w:r>
        <w:rPr>
          <w:rFonts w:eastAsia="Times New Roman" w:cs="Arial" w:ascii="Verdana" w:hAnsi="Verdana"/>
          <w:b w:val="false"/>
          <w:bCs w:val="false"/>
          <w:iCs/>
          <w:color w:val="000000"/>
          <w:sz w:val="20"/>
          <w:szCs w:val="20"/>
          <w:u w:val="none"/>
        </w:rPr>
        <w:t>um</w:t>
      </w:r>
      <w:r>
        <w:rPr>
          <w:rFonts w:cs="Arial" w:ascii="Verdana" w:hAnsi="Verdana"/>
          <w:b w:val="false"/>
          <w:bCs w:val="false"/>
          <w:iCs/>
          <w:color w:val="000000"/>
          <w:sz w:val="20"/>
          <w:szCs w:val="20"/>
          <w:u w:val="none"/>
        </w:rPr>
        <w:t xml:space="preserve">) ano, </w:t>
      </w:r>
      <w:r>
        <w:rPr>
          <w:rFonts w:cs="Arial" w:ascii="Verdana" w:hAnsi="Verdana"/>
          <w:b w:val="false"/>
          <w:bCs w:val="false"/>
          <w:iCs/>
          <w:color w:val="000000"/>
          <w:sz w:val="20"/>
          <w:szCs w:val="20"/>
          <w:u w:val="none"/>
        </w:rPr>
        <w:t>contados a partir da assinatura da Ata de Registro de Preços.</w:t>
      </w:r>
    </w:p>
    <w:p>
      <w:pPr>
        <w:pStyle w:val="ListParagraph"/>
        <w:tabs>
          <w:tab w:val="clear" w:pos="708"/>
          <w:tab w:val="left" w:pos="0" w:leader="none"/>
        </w:tabs>
        <w:suppressAutoHyphens w:val="false"/>
        <w:spacing w:lineRule="auto" w:line="276" w:before="85" w:after="85"/>
        <w:ind w:hanging="0" w:left="0" w:right="0"/>
        <w:contextualSpacing w:val="false"/>
        <w:jc w:val="both"/>
        <w:rPr>
          <w:rFonts w:ascii="Verdana" w:hAnsi="Verdana"/>
          <w:sz w:val="20"/>
          <w:szCs w:val="20"/>
        </w:rPr>
      </w:pPr>
      <w:r>
        <w:rPr>
          <w:rFonts w:eastAsia="Times New Roman" w:cs="Times New Roman" w:ascii="Verdana" w:hAnsi="Verdana"/>
          <w:b w:val="false"/>
          <w:bCs w:val="false"/>
          <w:iCs/>
          <w:color w:val="000000"/>
          <w:sz w:val="20"/>
          <w:szCs w:val="20"/>
        </w:rPr>
        <w:t>1.4. O custo estimado total da aquisição é de</w:t>
      </w:r>
      <w:r>
        <w:rPr>
          <w:rFonts w:eastAsia="Times New Roman" w:cs="Times New Roman" w:ascii="Verdana" w:hAnsi="Verdana"/>
          <w:b w:val="false"/>
          <w:bCs w:val="false"/>
          <w:i/>
          <w:iCs/>
          <w:color w:val="FF0000"/>
          <w:sz w:val="20"/>
          <w:szCs w:val="20"/>
        </w:rPr>
        <w:t xml:space="preserve"> </w:t>
      </w:r>
      <w:r>
        <w:rPr>
          <w:rFonts w:eastAsia="Times New Roman" w:cs="Arial" w:ascii="Verdana" w:hAnsi="Verdana"/>
          <w:b w:val="false"/>
          <w:bCs w:val="false"/>
          <w:i w:val="false"/>
          <w:iCs w:val="false"/>
          <w:color w:val="000000"/>
          <w:sz w:val="20"/>
          <w:szCs w:val="20"/>
          <w:lang w:eastAsia="zh-CN"/>
        </w:rPr>
        <w:t xml:space="preserve">R$ </w:t>
      </w:r>
      <w:r>
        <w:rPr>
          <w:rFonts w:eastAsia="Times New Roman" w:cs="Arial" w:ascii="Verdana" w:hAnsi="Verdana"/>
          <w:b/>
          <w:bCs/>
          <w:i w:val="false"/>
          <w:iCs w:val="false"/>
          <w:color w:val="111111"/>
          <w:sz w:val="20"/>
          <w:szCs w:val="20"/>
          <w:lang w:eastAsia="zh-CN"/>
        </w:rPr>
        <w:t>95.850,00</w:t>
      </w:r>
      <w:r>
        <w:rPr>
          <w:rFonts w:eastAsia="Times New Roman" w:cs="Arial" w:ascii="Verdana" w:hAnsi="Verdana"/>
          <w:b w:val="false"/>
          <w:bCs w:val="false"/>
          <w:i w:val="false"/>
          <w:iCs w:val="false"/>
          <w:color w:val="000000"/>
          <w:sz w:val="20"/>
          <w:szCs w:val="20"/>
          <w:lang w:eastAsia="zh-CN"/>
        </w:rPr>
        <w:t xml:space="preserve"> (noventa e cinco mil oitocentos e cinquenta reais)</w:t>
      </w:r>
      <w:r>
        <w:rPr>
          <w:rFonts w:eastAsia="Times New Roman" w:cs="Times New Roman" w:ascii="Verdana" w:hAnsi="Verdana"/>
          <w:b w:val="false"/>
          <w:bCs w:val="false"/>
          <w:i/>
          <w:iCs/>
          <w:color w:val="000000"/>
          <w:sz w:val="20"/>
          <w:szCs w:val="20"/>
        </w:rPr>
        <w:t xml:space="preserve"> </w:t>
      </w:r>
      <w:r>
        <w:rPr>
          <w:rFonts w:eastAsia="Times New Roman" w:cs="Times New Roman" w:ascii="Verdana" w:hAnsi="Verdana"/>
          <w:b w:val="false"/>
          <w:bCs w:val="false"/>
          <w:iCs/>
          <w:color w:val="000000"/>
          <w:sz w:val="20"/>
          <w:szCs w:val="20"/>
        </w:rPr>
        <w:t>conforme custos unitários apostos nos orçame</w:t>
      </w:r>
      <w:r>
        <w:rPr>
          <w:rFonts w:eastAsia="Times New Roman" w:cs="Times New Roman" w:ascii="Verdana" w:hAnsi="Verdana"/>
          <w:iCs/>
          <w:color w:val="000000"/>
          <w:sz w:val="20"/>
          <w:szCs w:val="20"/>
        </w:rPr>
        <w:t>ntos e no quadro comparativo de preços simples em anexo.</w:t>
      </w:r>
    </w:p>
    <w:p>
      <w:pPr>
        <w:pStyle w:val="ListParagraph"/>
        <w:tabs>
          <w:tab w:val="clear" w:pos="708"/>
          <w:tab w:val="left" w:pos="0" w:leader="none"/>
        </w:tabs>
        <w:suppressAutoHyphens w:val="false"/>
        <w:spacing w:lineRule="auto" w:line="276" w:before="85" w:after="85"/>
        <w:ind w:hanging="0" w:left="0" w:right="0"/>
        <w:contextualSpacing w:val="false"/>
        <w:jc w:val="both"/>
        <w:rPr>
          <w:rFonts w:ascii="Verdana" w:hAnsi="Verdana"/>
          <w:sz w:val="20"/>
          <w:szCs w:val="20"/>
        </w:rPr>
      </w:pPr>
      <w:r>
        <w:rPr>
          <w:rFonts w:ascii="Verdana" w:hAnsi="Verdana"/>
          <w:b w:val="false"/>
          <w:bCs w:val="false"/>
          <w:sz w:val="20"/>
          <w:szCs w:val="20"/>
          <w:u w:val="none"/>
        </w:rPr>
        <w:t xml:space="preserve">1.5. </w:t>
      </w:r>
      <w:r>
        <w:rPr>
          <w:rFonts w:eastAsia="Times New Roman" w:cs="Times New Roman" w:ascii="Verdana" w:hAnsi="Verdana"/>
          <w:b w:val="false"/>
          <w:bCs w:val="false"/>
          <w:color w:val="000000"/>
          <w:sz w:val="20"/>
          <w:szCs w:val="20"/>
          <w:u w:val="none"/>
        </w:rPr>
        <w:t>Justifica-se a utilização de modelo de referência a fim de determinar com maior precisão a qualidade do produto que esta Administração deseja, com a finalidade de garantir maior eficiência nas compras realizadas pelo Município (art. 41, I “d, Lei 14.133/2021).</w:t>
      </w:r>
    </w:p>
    <w:p>
      <w:pPr>
        <w:pStyle w:val="ListParagraph"/>
        <w:tabs>
          <w:tab w:val="clear" w:pos="708"/>
          <w:tab w:val="left" w:pos="0" w:leader="none"/>
        </w:tabs>
        <w:suppressAutoHyphens w:val="false"/>
        <w:spacing w:lineRule="auto" w:line="276" w:before="85" w:after="85"/>
        <w:ind w:hanging="0" w:left="0" w:right="0"/>
        <w:contextualSpacing w:val="false"/>
        <w:jc w:val="both"/>
        <w:rPr>
          <w:rFonts w:ascii="Verdana" w:hAnsi="Verdana" w:cs="Arial"/>
          <w:b/>
          <w:sz w:val="20"/>
          <w:szCs w:val="20"/>
          <w:u w:val="single"/>
        </w:rPr>
      </w:pPr>
      <w:r>
        <w:rPr>
          <w:rFonts w:cs="Arial" w:ascii="Verdana" w:hAnsi="Verdana"/>
          <w:b/>
          <w:sz w:val="20"/>
          <w:szCs w:val="20"/>
          <w:u w:val="single"/>
        </w:rPr>
      </w:r>
    </w:p>
    <w:p>
      <w:pPr>
        <w:pStyle w:val="Nivel1"/>
        <w:spacing w:lineRule="auto" w:line="276" w:before="85" w:after="85"/>
        <w:ind w:hanging="0" w:left="0" w:right="0"/>
        <w:rPr>
          <w:rFonts w:ascii="Verdana" w:hAnsi="Verdana"/>
          <w:sz w:val="20"/>
          <w:szCs w:val="20"/>
        </w:rPr>
      </w:pPr>
      <w:r>
        <w:rPr>
          <w:rFonts w:cs="Times New Roman" w:ascii="Verdana" w:hAnsi="Verdana"/>
          <w:bCs/>
          <w:sz w:val="20"/>
          <w:szCs w:val="20"/>
        </w:rPr>
        <w:t>2. FUNDAMENTAÇÃO E DESCRIÇÃO DA NECESSIDADE DA AQUISIÇÃO</w:t>
      </w:r>
      <w:bookmarkStart w:id="2" w:name="art23§73"/>
      <w:bookmarkStart w:id="3" w:name="art23§71"/>
    </w:p>
    <w:p>
      <w:pPr>
        <w:pStyle w:val="ListParagraph"/>
        <w:spacing w:lineRule="auto" w:line="276" w:before="85" w:after="85"/>
        <w:ind w:hanging="0" w:left="0" w:right="0"/>
        <w:contextualSpacing w:val="false"/>
        <w:jc w:val="both"/>
        <w:rPr>
          <w:rFonts w:ascii="Verdana" w:hAnsi="Verdana"/>
          <w:sz w:val="20"/>
          <w:szCs w:val="20"/>
        </w:rPr>
      </w:pPr>
      <w:r>
        <w:rPr>
          <w:rFonts w:cs="Arial" w:ascii="Verdana" w:hAnsi="Verdana"/>
          <w:b/>
          <w:bCs/>
          <w:sz w:val="20"/>
          <w:szCs w:val="20"/>
          <w:lang w:val="pt-BR"/>
        </w:rPr>
        <w:t>2</w:t>
      </w:r>
      <w:r>
        <w:rPr>
          <w:rFonts w:cs="Arial" w:ascii="Verdana" w:hAnsi="Verdana"/>
          <w:b/>
          <w:bCs/>
          <w:sz w:val="20"/>
          <w:szCs w:val="20"/>
        </w:rPr>
        <w:t xml:space="preserve">.1. </w:t>
      </w:r>
      <w:r>
        <w:rPr>
          <w:rFonts w:cs="Arial" w:ascii="Verdana" w:hAnsi="Verdana"/>
          <w:sz w:val="20"/>
          <w:szCs w:val="20"/>
        </w:rPr>
        <w:t xml:space="preserve">Aquisição </w:t>
      </w:r>
      <w:r>
        <w:rPr>
          <w:rFonts w:cs="Arial" w:ascii="Verdana" w:hAnsi="Verdana"/>
          <w:b/>
          <w:sz w:val="20"/>
          <w:szCs w:val="20"/>
        </w:rPr>
        <w:t xml:space="preserve">por meio de </w:t>
      </w:r>
      <w:r>
        <w:rPr>
          <w:rFonts w:cs="Arial" w:ascii="Verdana" w:hAnsi="Verdana"/>
          <w:b/>
          <w:sz w:val="20"/>
          <w:szCs w:val="20"/>
          <w:lang w:val="pt-BR"/>
        </w:rPr>
        <w:t>Registro de Preços</w:t>
      </w:r>
      <w:r>
        <w:rPr>
          <w:rFonts w:cs="Arial" w:ascii="Verdana" w:hAnsi="Verdana"/>
          <w:sz w:val="20"/>
          <w:szCs w:val="20"/>
          <w:lang w:val="pt-BR"/>
        </w:rPr>
        <w:t>;</w:t>
      </w:r>
    </w:p>
    <w:p>
      <w:pPr>
        <w:pStyle w:val="ListParagraph"/>
        <w:spacing w:lineRule="auto" w:line="276" w:before="85" w:after="85"/>
        <w:ind w:hanging="0" w:left="0" w:right="0"/>
        <w:contextualSpacing w:val="false"/>
        <w:jc w:val="both"/>
        <w:rPr>
          <w:rFonts w:ascii="Verdana" w:hAnsi="Verdana"/>
          <w:sz w:val="20"/>
          <w:szCs w:val="20"/>
        </w:rPr>
      </w:pPr>
      <w:r>
        <w:rPr>
          <w:rFonts w:eastAsia="Arial" w:cs="Arial" w:ascii="Verdana" w:hAnsi="Verdana"/>
          <w:b/>
          <w:sz w:val="20"/>
          <w:szCs w:val="20"/>
          <w:lang w:val="pt-BR"/>
        </w:rPr>
        <w:t>2</w:t>
      </w:r>
      <w:r>
        <w:rPr>
          <w:rFonts w:eastAsia="Arial" w:cs="Arial" w:ascii="Verdana" w:hAnsi="Verdana"/>
          <w:b/>
          <w:sz w:val="20"/>
          <w:szCs w:val="20"/>
        </w:rPr>
        <w:t>.</w:t>
      </w:r>
      <w:r>
        <w:rPr>
          <w:rFonts w:eastAsia="Arial" w:cs="Arial" w:ascii="Verdana" w:hAnsi="Verdana"/>
          <w:b/>
          <w:sz w:val="20"/>
          <w:szCs w:val="20"/>
          <w:lang w:val="pt-BR"/>
        </w:rPr>
        <w:t>2</w:t>
      </w:r>
      <w:r>
        <w:rPr>
          <w:rFonts w:eastAsia="Arial" w:cs="Arial" w:ascii="Verdana" w:hAnsi="Verdana"/>
          <w:b/>
          <w:sz w:val="20"/>
          <w:szCs w:val="20"/>
        </w:rPr>
        <w:t xml:space="preserve">. </w:t>
      </w:r>
      <w:r>
        <w:rPr>
          <w:rFonts w:cs="Arial" w:ascii="Verdana" w:hAnsi="Verdana"/>
          <w:bCs/>
          <w:sz w:val="20"/>
          <w:szCs w:val="20"/>
        </w:rPr>
        <w:t>Necessidade de aquisição de câmara fria para conservação de imunológicos atendendo as necessidades da Secretaria Municipal de Saúde.</w:t>
      </w:r>
    </w:p>
    <w:p>
      <w:pPr>
        <w:pStyle w:val="PargrafodaLista"/>
        <w:widowControl w:val="false"/>
        <w:tabs>
          <w:tab w:val="clear" w:pos="708"/>
          <w:tab w:val="left" w:pos="-2410" w:leader="none"/>
          <w:tab w:val="left" w:pos="567" w:leader="none"/>
        </w:tabs>
        <w:spacing w:lineRule="auto" w:line="276" w:before="85" w:after="85"/>
        <w:ind w:hanging="0" w:left="0" w:right="0"/>
        <w:contextualSpacing w:val="false"/>
        <w:jc w:val="both"/>
        <w:rPr>
          <w:rFonts w:ascii="Verdana" w:hAnsi="Verdana"/>
          <w:sz w:val="20"/>
          <w:szCs w:val="20"/>
        </w:rPr>
      </w:pPr>
      <w:r>
        <w:rPr>
          <w:rFonts w:cs="Arial" w:ascii="Verdana" w:hAnsi="Verdana"/>
          <w:b/>
          <w:bCs/>
          <w:color w:val="000000"/>
          <w:sz w:val="20"/>
          <w:szCs w:val="20"/>
          <w:shd w:fill="auto" w:val="clear"/>
        </w:rPr>
        <w:t xml:space="preserve">2.3. </w:t>
      </w:r>
      <w:r>
        <w:rPr>
          <w:rFonts w:cs="Arial" w:ascii="Verdana" w:hAnsi="Verdana"/>
          <w:b w:val="false"/>
          <w:bCs w:val="false"/>
          <w:color w:val="000000"/>
          <w:sz w:val="20"/>
          <w:szCs w:val="20"/>
          <w:shd w:fill="auto" w:val="clear"/>
        </w:rPr>
        <w:t>Garantir a conservação das vacinas que são encaminhadas para a Secretaria Municipal de Saúde em atendimento a população que necessita de imunização.</w:t>
      </w:r>
    </w:p>
    <w:p>
      <w:pPr>
        <w:pStyle w:val="PargrafodaLista"/>
        <w:widowControl w:val="false"/>
        <w:tabs>
          <w:tab w:val="clear" w:pos="708"/>
          <w:tab w:val="left" w:pos="-2410" w:leader="none"/>
          <w:tab w:val="left" w:pos="567" w:leader="none"/>
        </w:tabs>
        <w:spacing w:lineRule="auto" w:line="276" w:before="85" w:after="85"/>
        <w:ind w:hanging="0" w:left="0" w:right="0"/>
        <w:contextualSpacing w:val="false"/>
        <w:jc w:val="both"/>
        <w:rPr>
          <w:rFonts w:ascii="Verdana" w:hAnsi="Verdana"/>
          <w:sz w:val="20"/>
          <w:szCs w:val="20"/>
        </w:rPr>
      </w:pPr>
      <w:r>
        <w:rPr>
          <w:rFonts w:cs="Arial" w:ascii="Verdana" w:hAnsi="Verdana"/>
          <w:b/>
          <w:bCs/>
          <w:color w:val="000000"/>
          <w:sz w:val="20"/>
          <w:szCs w:val="20"/>
          <w:shd w:fill="auto" w:val="clear"/>
          <w:lang w:val="pt-BR"/>
        </w:rPr>
        <w:t xml:space="preserve">2.4. </w:t>
      </w:r>
      <w:r>
        <w:rPr>
          <w:rFonts w:cs="Arial" w:ascii="Verdana" w:hAnsi="Verdana"/>
          <w:b w:val="false"/>
          <w:bCs w:val="false"/>
          <w:color w:val="000000"/>
          <w:sz w:val="20"/>
          <w:szCs w:val="20"/>
          <w:shd w:fill="auto" w:val="clear"/>
          <w:lang w:val="pt-BR"/>
        </w:rPr>
        <w:t>Considerando que a Secretaria Municipal de Saúde está descentralizando a vacinação, ampliando o atendimento para algumas unidades básicas de Saúde, onde as mesmas fornecerão o atendimento ao público na imunização, motivo pelo qual a necessidade em estruturar as Salas de Vacina.</w:t>
      </w:r>
    </w:p>
    <w:p>
      <w:pPr>
        <w:pStyle w:val="PargrafodaLista"/>
        <w:widowControl w:val="false"/>
        <w:tabs>
          <w:tab w:val="clear" w:pos="708"/>
          <w:tab w:val="left" w:pos="-2410" w:leader="none"/>
          <w:tab w:val="left" w:pos="567" w:leader="none"/>
        </w:tabs>
        <w:spacing w:lineRule="auto" w:line="276" w:before="85" w:after="85"/>
        <w:ind w:hanging="0" w:left="0" w:right="0"/>
        <w:contextualSpacing w:val="false"/>
        <w:jc w:val="both"/>
        <w:rPr>
          <w:rFonts w:ascii="Verdana" w:hAnsi="Verdana" w:cs="Arial"/>
          <w:b w:val="false"/>
          <w:bCs w:val="false"/>
          <w:color w:val="000000"/>
          <w:sz w:val="20"/>
          <w:szCs w:val="20"/>
          <w:shd w:fill="auto" w:val="clear"/>
          <w:lang w:val="pt-BR"/>
        </w:rPr>
      </w:pPr>
      <w:r>
        <w:rPr>
          <w:rFonts w:cs="Arial" w:ascii="Verdana" w:hAnsi="Verdana"/>
          <w:b w:val="false"/>
          <w:bCs w:val="false"/>
          <w:color w:val="000000"/>
          <w:sz w:val="20"/>
          <w:szCs w:val="20"/>
          <w:shd w:fill="auto" w:val="clear"/>
          <w:lang w:val="pt-BR"/>
        </w:rPr>
      </w:r>
    </w:p>
    <w:p>
      <w:pPr>
        <w:pStyle w:val="ListParagraph"/>
        <w:spacing w:lineRule="auto" w:line="276" w:before="85" w:after="85"/>
        <w:ind w:hanging="0" w:left="0" w:right="0"/>
        <w:contextualSpacing w:val="false"/>
        <w:jc w:val="both"/>
        <w:rPr>
          <w:rFonts w:ascii="Verdana" w:hAnsi="Verdana"/>
          <w:sz w:val="20"/>
          <w:szCs w:val="20"/>
        </w:rPr>
      </w:pPr>
      <w:r>
        <w:rPr>
          <w:rFonts w:ascii="Verdana" w:hAnsi="Verdana"/>
          <w:b/>
          <w:bCs/>
          <w:sz w:val="20"/>
          <w:szCs w:val="20"/>
        </w:rPr>
        <w:t>3. DESCRIÇÃO DA SOLUÇÃO</w:t>
      </w:r>
    </w:p>
    <w:p>
      <w:pPr>
        <w:pStyle w:val="Normal"/>
        <w:spacing w:lineRule="auto" w:line="276" w:before="85" w:after="85"/>
        <w:ind w:hanging="0" w:left="0" w:right="0"/>
        <w:jc w:val="both"/>
        <w:rPr>
          <w:rFonts w:ascii="Verdana" w:hAnsi="Verdana"/>
          <w:sz w:val="20"/>
          <w:szCs w:val="20"/>
        </w:rPr>
      </w:pPr>
      <w:r>
        <w:rPr>
          <w:rFonts w:cs="Arial" w:ascii="Verdana" w:hAnsi="Verdana"/>
          <w:sz w:val="20"/>
          <w:szCs w:val="20"/>
          <w:lang w:val="pt-BR"/>
        </w:rPr>
        <w:t>3.0. A solução consiste em equipar as Unidades Básicas de Saúde que atenderão a população com imunização, onde terão salas de vacinas acopladas.</w:t>
      </w:r>
    </w:p>
    <w:p>
      <w:pPr>
        <w:pStyle w:val="Normal"/>
        <w:spacing w:lineRule="auto" w:line="276" w:before="85" w:after="85"/>
        <w:ind w:hanging="0" w:left="0" w:right="0"/>
        <w:jc w:val="both"/>
        <w:rPr>
          <w:rFonts w:ascii="Verdana" w:hAnsi="Verdana"/>
          <w:sz w:val="20"/>
          <w:szCs w:val="20"/>
        </w:rPr>
      </w:pPr>
      <w:r>
        <w:rPr>
          <w:rFonts w:cs="Arial" w:ascii="Verdana" w:hAnsi="Verdana"/>
          <w:sz w:val="20"/>
          <w:szCs w:val="20"/>
          <w:lang w:val="pt-BR"/>
        </w:rPr>
        <w:t>3.1. O equipamento garantirá, conservar a qualidade dos insumos (vacinas) encaminhadas para a secretaria Municipal de Saúde, possibilitando garantir o resfriamento adequado das vacinas.</w:t>
      </w:r>
    </w:p>
    <w:p>
      <w:pPr>
        <w:pStyle w:val="Normal"/>
        <w:spacing w:lineRule="auto" w:line="276" w:before="85" w:after="85"/>
        <w:ind w:hanging="0" w:left="0" w:right="0"/>
        <w:jc w:val="both"/>
        <w:rPr>
          <w:rFonts w:ascii="Verdana" w:hAnsi="Verdana"/>
          <w:sz w:val="20"/>
          <w:szCs w:val="20"/>
        </w:rPr>
      </w:pPr>
      <w:r>
        <w:rPr>
          <w:rFonts w:ascii="Verdana" w:hAnsi="Verdana"/>
          <w:sz w:val="20"/>
          <w:szCs w:val="20"/>
        </w:rPr>
      </w:r>
    </w:p>
    <w:p>
      <w:pPr>
        <w:pStyle w:val="Nivel1"/>
        <w:spacing w:lineRule="auto" w:line="276" w:before="85" w:after="85"/>
        <w:ind w:hanging="0" w:left="0" w:right="0"/>
        <w:rPr>
          <w:rFonts w:ascii="Verdana" w:hAnsi="Verdana"/>
          <w:sz w:val="20"/>
          <w:szCs w:val="20"/>
        </w:rPr>
      </w:pPr>
      <w:r>
        <w:rPr>
          <w:rFonts w:ascii="Verdana" w:hAnsi="Verdana"/>
          <w:bCs/>
          <w:sz w:val="20"/>
          <w:szCs w:val="20"/>
        </w:rPr>
        <w:t>4. CLASSIFICAÇÃO DOS BENS COMUNS</w:t>
      </w:r>
    </w:p>
    <w:p>
      <w:pPr>
        <w:pStyle w:val="Normal"/>
        <w:spacing w:lineRule="auto" w:line="276" w:before="85" w:after="85"/>
        <w:ind w:hanging="0" w:left="0" w:right="0"/>
        <w:jc w:val="both"/>
        <w:rPr>
          <w:rFonts w:ascii="Verdana" w:hAnsi="Verdana"/>
          <w:sz w:val="20"/>
          <w:szCs w:val="20"/>
        </w:rPr>
      </w:pPr>
      <w:r>
        <w:rPr>
          <w:rFonts w:cs="Arial" w:ascii="Verdana" w:hAnsi="Verdana"/>
          <w:b w:val="false"/>
          <w:bCs w:val="false"/>
          <w:color w:val="000000"/>
          <w:sz w:val="20"/>
          <w:szCs w:val="20"/>
        </w:rPr>
        <w:t xml:space="preserve">4.1. Trata-se de bens comuns a ser contratado mediante </w:t>
      </w:r>
      <w:r>
        <w:rPr>
          <w:rFonts w:eastAsia="Times New Roman" w:cs="Arial" w:ascii="Verdana" w:hAnsi="Verdana"/>
          <w:b w:val="false"/>
          <w:bCs w:val="false"/>
          <w:color w:val="000000"/>
          <w:sz w:val="20"/>
          <w:szCs w:val="20"/>
        </w:rPr>
        <w:t>registro de preços</w:t>
      </w:r>
      <w:r>
        <w:rPr>
          <w:rFonts w:cs="Arial" w:ascii="Verdana" w:hAnsi="Verdana"/>
          <w:b w:val="false"/>
          <w:bCs w:val="false"/>
          <w:color w:val="000000"/>
          <w:sz w:val="20"/>
          <w:szCs w:val="20"/>
        </w:rPr>
        <w:t>.</w:t>
      </w:r>
    </w:p>
    <w:p>
      <w:pPr>
        <w:pStyle w:val="Normal"/>
        <w:spacing w:lineRule="auto" w:line="276" w:before="85" w:after="85"/>
        <w:ind w:hanging="0" w:left="0" w:right="0"/>
        <w:jc w:val="both"/>
        <w:rPr>
          <w:rFonts w:ascii="Verdana" w:hAnsi="Verdana"/>
          <w:sz w:val="20"/>
          <w:szCs w:val="20"/>
        </w:rPr>
      </w:pPr>
      <w:r>
        <w:rPr>
          <w:rFonts w:ascii="Verdana" w:hAnsi="Verdana"/>
          <w:sz w:val="20"/>
          <w:szCs w:val="20"/>
        </w:rPr>
      </w:r>
    </w:p>
    <w:p>
      <w:pPr>
        <w:pStyle w:val="Normal"/>
        <w:spacing w:lineRule="auto" w:line="276" w:before="85" w:after="85"/>
        <w:ind w:hanging="0" w:left="0" w:right="0"/>
        <w:jc w:val="both"/>
        <w:rPr>
          <w:rFonts w:ascii="Verdana" w:hAnsi="Verdana"/>
          <w:sz w:val="20"/>
          <w:szCs w:val="20"/>
        </w:rPr>
      </w:pPr>
      <w:r>
        <w:rPr>
          <w:rFonts w:cs="Arial" w:ascii="Verdana" w:hAnsi="Verdana"/>
          <w:b/>
          <w:bCs/>
          <w:color w:val="000000"/>
          <w:sz w:val="20"/>
          <w:szCs w:val="20"/>
        </w:rPr>
        <w:t>5. REQUISITOS DA CONTRATAÇÃO/AQUISIÇÃO</w:t>
      </w:r>
    </w:p>
    <w:p>
      <w:pPr>
        <w:pStyle w:val="Normal"/>
        <w:spacing w:lineRule="auto" w:line="276" w:before="85" w:after="85"/>
        <w:ind w:hanging="0" w:left="0" w:right="0"/>
        <w:jc w:val="both"/>
        <w:rPr>
          <w:rFonts w:ascii="Verdana" w:hAnsi="Verdana"/>
          <w:sz w:val="20"/>
          <w:szCs w:val="20"/>
        </w:rPr>
      </w:pPr>
      <w:r>
        <w:rPr>
          <w:rFonts w:ascii="Verdana" w:hAnsi="Verdana"/>
          <w:b w:val="false"/>
          <w:bCs w:val="false"/>
          <w:sz w:val="20"/>
          <w:szCs w:val="20"/>
        </w:rPr>
        <w:t xml:space="preserve">A </w:t>
      </w:r>
      <w:r>
        <w:rPr>
          <w:rFonts w:eastAsia="Times New Roman" w:cs="Times New Roman" w:ascii="Verdana" w:hAnsi="Verdana"/>
          <w:b w:val="false"/>
          <w:bCs w:val="false"/>
          <w:sz w:val="20"/>
          <w:szCs w:val="20"/>
        </w:rPr>
        <w:t>aquis</w:t>
      </w:r>
      <w:r>
        <w:rPr>
          <w:rFonts w:eastAsia="Times New Roman" w:cs="Times New Roman" w:ascii="Verdana" w:hAnsi="Verdana"/>
          <w:sz w:val="20"/>
          <w:szCs w:val="20"/>
        </w:rPr>
        <w:t>ição</w:t>
      </w:r>
      <w:r>
        <w:rPr>
          <w:rFonts w:ascii="Verdana" w:hAnsi="Verdana"/>
          <w:sz w:val="20"/>
          <w:szCs w:val="20"/>
        </w:rPr>
        <w:t xml:space="preserve"> deverá observar os seguintes requisitos:</w:t>
      </w:r>
    </w:p>
    <w:p>
      <w:pPr>
        <w:pStyle w:val="Normal"/>
        <w:spacing w:lineRule="auto" w:line="276" w:before="85" w:after="85"/>
        <w:ind w:hanging="0" w:left="0" w:right="0"/>
        <w:jc w:val="both"/>
        <w:rPr>
          <w:rFonts w:ascii="Verdana" w:hAnsi="Verdana"/>
          <w:sz w:val="20"/>
          <w:szCs w:val="20"/>
        </w:rPr>
      </w:pPr>
      <w:r>
        <w:rPr>
          <w:rFonts w:ascii="Verdana" w:hAnsi="Verdana"/>
          <w:b w:val="false"/>
          <w:bCs w:val="false"/>
          <w:sz w:val="20"/>
          <w:szCs w:val="20"/>
        </w:rPr>
        <w:t>5.1. Não haverá danos ao meio ambiente, uma vez que a aquisição não gera  problema para a Administração Pública.</w:t>
      </w:r>
    </w:p>
    <w:p>
      <w:pPr>
        <w:pStyle w:val="ListParagraph"/>
        <w:tabs>
          <w:tab w:val="clear" w:pos="708"/>
          <w:tab w:val="left" w:pos="450" w:leader="none"/>
        </w:tabs>
        <w:suppressAutoHyphens w:val="false"/>
        <w:spacing w:lineRule="auto" w:line="276" w:before="85" w:after="85"/>
        <w:ind w:hanging="0" w:left="0" w:right="0"/>
        <w:contextualSpacing w:val="false"/>
        <w:jc w:val="both"/>
        <w:rPr>
          <w:rFonts w:ascii="Verdana" w:hAnsi="Verdana"/>
          <w:sz w:val="20"/>
          <w:szCs w:val="20"/>
        </w:rPr>
      </w:pPr>
      <w:r>
        <w:rPr>
          <w:rFonts w:ascii="Verdana" w:hAnsi="Verdana"/>
          <w:b w:val="false"/>
          <w:bCs w:val="false"/>
          <w:i w:val="false"/>
          <w:iCs w:val="false"/>
          <w:sz w:val="20"/>
          <w:szCs w:val="20"/>
        </w:rPr>
        <w:t xml:space="preserve">5.2. A aquisição se dará por </w:t>
      </w:r>
      <w:r>
        <w:rPr>
          <w:rFonts w:eastAsia="Times New Roman" w:cs="Times New Roman" w:ascii="Verdana" w:hAnsi="Verdana"/>
          <w:b w:val="false"/>
          <w:bCs w:val="false"/>
          <w:i w:val="false"/>
          <w:iCs w:val="false"/>
          <w:sz w:val="20"/>
          <w:szCs w:val="20"/>
        </w:rPr>
        <w:t>registro de preços</w:t>
      </w:r>
      <w:r>
        <w:rPr>
          <w:rFonts w:ascii="Verdana" w:hAnsi="Verdana"/>
          <w:b w:val="false"/>
          <w:bCs w:val="false"/>
          <w:i w:val="false"/>
          <w:iCs w:val="false"/>
          <w:sz w:val="20"/>
          <w:szCs w:val="20"/>
        </w:rPr>
        <w:t xml:space="preserve">, </w:t>
      </w:r>
      <w:r>
        <w:rPr>
          <w:rFonts w:eastAsia="Times New Roman" w:cs="Arial" w:ascii="Verdana" w:hAnsi="Verdana"/>
          <w:b w:val="false"/>
          <w:bCs w:val="false"/>
          <w:i w:val="false"/>
          <w:iCs w:val="false"/>
          <w:sz w:val="20"/>
          <w:szCs w:val="20"/>
        </w:rPr>
        <w:t xml:space="preserve">sendo necessária a emissão de autorização de fornecimento </w:t>
      </w:r>
      <w:r>
        <w:rPr>
          <w:rFonts w:eastAsia="Times New Roman" w:cs="Arial" w:ascii="Verdana" w:hAnsi="Verdana"/>
          <w:b w:val="false"/>
          <w:bCs w:val="false"/>
          <w:i w:val="false"/>
          <w:iCs w:val="false"/>
          <w:sz w:val="20"/>
          <w:szCs w:val="20"/>
          <w:lang w:eastAsia="zh-CN"/>
        </w:rPr>
        <w:t xml:space="preserve">dos itens concedendo o prazo de 30 ( trinta)  dias para a entrega, </w:t>
      </w:r>
      <w:r>
        <w:rPr>
          <w:rFonts w:ascii="Verdana" w:hAnsi="Verdana"/>
          <w:b w:val="false"/>
          <w:bCs w:val="false"/>
          <w:i w:val="false"/>
          <w:iCs w:val="false"/>
          <w:sz w:val="20"/>
          <w:szCs w:val="20"/>
        </w:rPr>
        <w:t>por parte DA CONTRATADA sendo sagrado vencedor o fornecedor que apresentar o menor valor por item a ser adquirido.</w:t>
      </w:r>
    </w:p>
    <w:p>
      <w:pPr>
        <w:pStyle w:val="ListParagraph"/>
        <w:tabs>
          <w:tab w:val="clear" w:pos="708"/>
          <w:tab w:val="left" w:pos="450" w:leader="none"/>
        </w:tabs>
        <w:suppressAutoHyphens w:val="false"/>
        <w:spacing w:lineRule="auto" w:line="276" w:before="85" w:after="85"/>
        <w:ind w:hanging="0" w:left="0" w:right="0"/>
        <w:contextualSpacing w:val="false"/>
        <w:jc w:val="both"/>
        <w:rPr>
          <w:rFonts w:ascii="Verdana" w:hAnsi="Verdana"/>
          <w:sz w:val="20"/>
          <w:szCs w:val="20"/>
        </w:rPr>
      </w:pPr>
      <w:r>
        <w:rPr>
          <w:rFonts w:ascii="Verdana" w:hAnsi="Verdana"/>
          <w:b w:val="false"/>
          <w:bCs w:val="false"/>
          <w:i w:val="false"/>
          <w:iCs w:val="false"/>
          <w:sz w:val="20"/>
          <w:szCs w:val="20"/>
        </w:rPr>
        <w:t xml:space="preserve">5.3. </w:t>
      </w:r>
      <w:r>
        <w:rPr>
          <w:rFonts w:ascii="Verdana" w:hAnsi="Verdana"/>
          <w:b w:val="false"/>
          <w:bCs w:val="false"/>
          <w:i w:val="false"/>
          <w:iCs w:val="false"/>
          <w:sz w:val="20"/>
          <w:szCs w:val="20"/>
          <w:u w:val="none"/>
        </w:rPr>
        <w:t xml:space="preserve">A empresa detentora da ata registrará o preço por 01 (um) </w:t>
      </w:r>
      <w:r>
        <w:rPr>
          <w:rFonts w:eastAsia="Times New Roman" w:cs="Times New Roman" w:ascii="Verdana" w:hAnsi="Verdana"/>
          <w:b w:val="false"/>
          <w:bCs w:val="false"/>
          <w:i w:val="false"/>
          <w:iCs w:val="false"/>
          <w:sz w:val="20"/>
          <w:szCs w:val="20"/>
          <w:u w:val="none"/>
        </w:rPr>
        <w:t>ano</w:t>
      </w:r>
      <w:r>
        <w:rPr>
          <w:rFonts w:ascii="Verdana" w:hAnsi="Verdana"/>
          <w:b w:val="false"/>
          <w:bCs w:val="false"/>
          <w:i w:val="false"/>
          <w:iCs w:val="false"/>
          <w:sz w:val="20"/>
          <w:szCs w:val="20"/>
        </w:rPr>
        <w:t>, podendo ou não a secretaria requisitar a entrega dos equipamentos, dependendo da demanda.</w:t>
      </w:r>
    </w:p>
    <w:p>
      <w:pPr>
        <w:pStyle w:val="Normal"/>
        <w:spacing w:lineRule="auto" w:line="276" w:before="85" w:after="85"/>
        <w:ind w:left="0" w:right="0"/>
        <w:jc w:val="both"/>
        <w:rPr>
          <w:rFonts w:ascii="Verdana" w:hAnsi="Verdana"/>
          <w:sz w:val="20"/>
          <w:szCs w:val="20"/>
        </w:rPr>
      </w:pPr>
      <w:r>
        <w:rPr>
          <w:rFonts w:cs="Arial" w:ascii="Verdana" w:hAnsi="Verdana"/>
          <w:b/>
          <w:bCs/>
          <w:sz w:val="20"/>
          <w:szCs w:val="20"/>
          <w:shd w:fill="auto" w:val="clear"/>
        </w:rPr>
        <w:t>5.4.</w:t>
      </w:r>
      <w:r>
        <w:rPr>
          <w:rFonts w:cs="Arial" w:ascii="Verdana" w:hAnsi="Verdana"/>
          <w:b w:val="false"/>
          <w:bCs w:val="false"/>
          <w:sz w:val="20"/>
          <w:szCs w:val="20"/>
          <w:shd w:fill="auto" w:val="clear"/>
        </w:rPr>
        <w:t xml:space="preserve"> Não transferir a outrem o objeto estabelecido neste TR, sem prévia e expressa anuência do contratante;</w:t>
      </w:r>
    </w:p>
    <w:p>
      <w:pPr>
        <w:pStyle w:val="Normal"/>
        <w:spacing w:lineRule="auto" w:line="276" w:before="85" w:after="85"/>
        <w:ind w:left="0" w:right="0"/>
        <w:jc w:val="both"/>
        <w:rPr>
          <w:rFonts w:ascii="Verdana" w:hAnsi="Verdana"/>
          <w:sz w:val="20"/>
          <w:szCs w:val="20"/>
        </w:rPr>
      </w:pPr>
      <w:r>
        <w:rPr>
          <w:rFonts w:cs="Arial" w:ascii="Verdana" w:hAnsi="Verdana"/>
          <w:b/>
          <w:bCs/>
          <w:color w:val="000000"/>
          <w:sz w:val="20"/>
          <w:szCs w:val="20"/>
          <w:shd w:fill="auto" w:val="clear"/>
        </w:rPr>
        <w:t xml:space="preserve">5.5. </w:t>
      </w:r>
      <w:r>
        <w:rPr>
          <w:rFonts w:cs="Arial" w:ascii="Verdana" w:hAnsi="Verdana"/>
          <w:b w:val="false"/>
          <w:bCs w:val="false"/>
          <w:color w:val="000000"/>
          <w:sz w:val="20"/>
          <w:szCs w:val="20"/>
          <w:shd w:fill="auto" w:val="clear"/>
        </w:rPr>
        <w:t>Manter, durante o período de vigência do contrato, todas as condições que enseiaram contratação, particularmente no que tange à regularidade fiscal, tributária, trabalhista e qualificação técnica;</w:t>
      </w:r>
    </w:p>
    <w:p>
      <w:pPr>
        <w:pStyle w:val="Normal"/>
        <w:spacing w:lineRule="auto" w:line="276" w:before="85" w:after="85"/>
        <w:ind w:left="0" w:right="0"/>
        <w:jc w:val="both"/>
        <w:rPr>
          <w:rFonts w:ascii="Verdana" w:hAnsi="Verdana"/>
          <w:sz w:val="20"/>
          <w:szCs w:val="20"/>
        </w:rPr>
      </w:pPr>
      <w:r>
        <w:rPr>
          <w:rFonts w:cs="Arial" w:ascii="Verdana" w:hAnsi="Verdana"/>
          <w:b/>
          <w:bCs/>
          <w:sz w:val="20"/>
          <w:szCs w:val="20"/>
          <w:shd w:fill="auto" w:val="clear"/>
        </w:rPr>
        <w:t>5.6.</w:t>
      </w:r>
      <w:r>
        <w:rPr>
          <w:rFonts w:cs="Arial" w:ascii="Verdana" w:hAnsi="Verdana"/>
          <w:b w:val="false"/>
          <w:bCs w:val="false"/>
          <w:sz w:val="20"/>
          <w:szCs w:val="20"/>
          <w:shd w:fill="auto" w:val="clear"/>
        </w:rPr>
        <w:t xml:space="preserve"> Responder por quaisquer danos pessoais ou materiais ocasionados por seus empregados ou prepostos durante o fornecimento do objeto licitado, responder por quaisquer prejuízo que seus empregados ou prepostos causarem ao patrimônio da CONTRATANTE ou terceiros, decorrente de ação ou omissão culposa ou dolosa, procedendo imediatamente aos reparos ou indenizações cabíveis e assumindo o ônus decorrente;</w:t>
      </w:r>
    </w:p>
    <w:p>
      <w:pPr>
        <w:pStyle w:val="Normal"/>
        <w:spacing w:lineRule="auto" w:line="276" w:before="85" w:after="85"/>
        <w:ind w:left="0" w:right="0"/>
        <w:jc w:val="both"/>
        <w:rPr>
          <w:rFonts w:ascii="Verdana" w:hAnsi="Verdana"/>
          <w:sz w:val="20"/>
          <w:szCs w:val="20"/>
        </w:rPr>
      </w:pPr>
      <w:r>
        <w:rPr>
          <w:rFonts w:cs="Arial" w:ascii="Verdana" w:hAnsi="Verdana"/>
          <w:b w:val="false"/>
          <w:bCs w:val="false"/>
          <w:sz w:val="20"/>
          <w:szCs w:val="20"/>
          <w:shd w:fill="auto" w:val="clear"/>
        </w:rPr>
        <w:t>5.7. Substituir no todo ou em parte do objeto deste termo que for entregue fora das especificações e/ou que apresentem defeitos, devendo fazê-lo no prazo determinado pela Secretaria requisitante, sem ônus para o Município de Guarapari.</w:t>
      </w:r>
    </w:p>
    <w:p>
      <w:pPr>
        <w:pStyle w:val="Normal"/>
        <w:spacing w:lineRule="auto" w:line="276" w:before="85" w:after="85"/>
        <w:ind w:left="0" w:right="0"/>
        <w:jc w:val="both"/>
        <w:rPr>
          <w:rFonts w:ascii="Verdana" w:hAnsi="Verdana"/>
          <w:sz w:val="20"/>
          <w:szCs w:val="20"/>
        </w:rPr>
      </w:pPr>
      <w:r>
        <w:rPr>
          <w:rFonts w:cs="Arial" w:ascii="Verdana" w:hAnsi="Verdana"/>
          <w:b w:val="false"/>
          <w:bCs w:val="false"/>
          <w:sz w:val="20"/>
          <w:szCs w:val="20"/>
          <w:shd w:fill="auto" w:val="clear"/>
        </w:rPr>
        <w:t>5.8. Substituir o produto que quando do seu uso ficar constatado que o mesmo não possui qualidade;</w:t>
      </w:r>
    </w:p>
    <w:p>
      <w:pPr>
        <w:pStyle w:val="Normal"/>
        <w:spacing w:lineRule="auto" w:line="276" w:before="85" w:after="85"/>
        <w:ind w:left="0" w:right="0"/>
        <w:jc w:val="both"/>
        <w:rPr>
          <w:rFonts w:ascii="Verdana" w:hAnsi="Verdana"/>
          <w:sz w:val="20"/>
          <w:szCs w:val="20"/>
        </w:rPr>
      </w:pPr>
      <w:r>
        <w:rPr>
          <w:rFonts w:cs="Arial" w:ascii="Verdana" w:hAnsi="Verdana"/>
          <w:b w:val="false"/>
          <w:bCs w:val="false"/>
          <w:sz w:val="20"/>
          <w:szCs w:val="20"/>
          <w:shd w:fill="auto" w:val="clear"/>
        </w:rPr>
        <w:t>5.9. Incluir nos preços cotados os insumos que o compõem a satisfação do futuro contrato, tais como as despesas com impostos, taxas, frete, embalagens, seguros e quaisquer outros que incidam direta ou indiretamente na aquisição e entrega dos equipamentos cotados, bem como transporte, custos, estocagem até a entrega total do objeto, carga e descarga, testes, embalagens, seguro, leis sociais e tributos;</w:t>
      </w:r>
    </w:p>
    <w:p>
      <w:pPr>
        <w:pStyle w:val="Normal"/>
        <w:spacing w:lineRule="auto" w:line="276" w:before="85" w:after="85"/>
        <w:ind w:left="0" w:right="0"/>
        <w:jc w:val="both"/>
        <w:rPr>
          <w:rFonts w:ascii="Verdana" w:hAnsi="Verdana"/>
          <w:sz w:val="20"/>
          <w:szCs w:val="20"/>
        </w:rPr>
      </w:pPr>
      <w:r>
        <w:rPr>
          <w:rFonts w:cs="Arial" w:ascii="Verdana" w:hAnsi="Verdana"/>
          <w:b w:val="false"/>
          <w:bCs w:val="false"/>
          <w:sz w:val="20"/>
          <w:szCs w:val="20"/>
          <w:shd w:fill="auto" w:val="clear"/>
        </w:rPr>
        <w:t>5.10. Fornecer todos os produtos com garantia de acordo com as exigências do Código de Defesa do Consumidor.</w:t>
      </w:r>
    </w:p>
    <w:p>
      <w:pPr>
        <w:pStyle w:val="Normal"/>
        <w:spacing w:lineRule="auto" w:line="276" w:before="85" w:after="85"/>
        <w:ind w:left="0" w:right="0"/>
        <w:jc w:val="both"/>
        <w:rPr>
          <w:rFonts w:ascii="Verdana" w:hAnsi="Verdana"/>
          <w:sz w:val="20"/>
          <w:szCs w:val="20"/>
        </w:rPr>
      </w:pPr>
      <w:r>
        <w:rPr>
          <w:rFonts w:cs="Arial" w:ascii="Verdana" w:hAnsi="Verdana"/>
          <w:b w:val="false"/>
          <w:bCs w:val="false"/>
          <w:sz w:val="20"/>
          <w:szCs w:val="20"/>
          <w:shd w:fill="auto" w:val="clear"/>
        </w:rPr>
        <w:t>5.11. Fornecer todos equipamentos com qualidade, garantia e manual de instrução.</w:t>
      </w:r>
    </w:p>
    <w:p>
      <w:pPr>
        <w:pStyle w:val="Normal"/>
        <w:spacing w:lineRule="auto" w:line="276" w:before="85" w:after="85"/>
        <w:ind w:left="0" w:right="0"/>
        <w:jc w:val="both"/>
        <w:rPr>
          <w:rFonts w:ascii="Verdana" w:hAnsi="Verdana"/>
          <w:sz w:val="20"/>
          <w:szCs w:val="20"/>
        </w:rPr>
      </w:pPr>
      <w:r>
        <w:rPr>
          <w:rFonts w:cs="Arial" w:ascii="Verdana" w:hAnsi="Verdana"/>
          <w:b w:val="false"/>
          <w:bCs w:val="false"/>
          <w:sz w:val="20"/>
          <w:szCs w:val="20"/>
          <w:shd w:fill="auto" w:val="clear"/>
        </w:rPr>
        <w:t>5.12. Fornecer os equipamentos com qualidade inquestionável, devendo estar em conformidade com a descrição constante neste ETP, estando ainda sujeitos a amplo teste de qualidade, reservando-se a Contratante, o direito de rejeitá-lo no todo ou em parte, obrigando-se a empresa vencedora a promover suas substituições sem qualquer ônus adicional, sujeitando-se a aplicação das penalidade previstas;</w:t>
      </w:r>
    </w:p>
    <w:p>
      <w:pPr>
        <w:pStyle w:val="Normal"/>
        <w:spacing w:lineRule="auto" w:line="276" w:before="85" w:after="85"/>
        <w:ind w:left="0" w:right="0"/>
        <w:jc w:val="both"/>
        <w:rPr>
          <w:rFonts w:ascii="Verdana" w:hAnsi="Verdana"/>
          <w:sz w:val="20"/>
          <w:szCs w:val="20"/>
        </w:rPr>
      </w:pPr>
      <w:r>
        <w:rPr>
          <w:rFonts w:cs="Arial" w:ascii="Verdana" w:hAnsi="Verdana"/>
          <w:b w:val="false"/>
          <w:bCs w:val="false"/>
          <w:sz w:val="20"/>
          <w:szCs w:val="20"/>
          <w:shd w:fill="auto" w:val="clear"/>
        </w:rPr>
        <w:t>5.13. Responsabilizar-se por seus produtos até a data que expirar a validade dos mesmos (garantia), valendo para resolução de qualquer dúvida, o Código de Defesa do Consumidor;</w:t>
      </w:r>
    </w:p>
    <w:p>
      <w:pPr>
        <w:pStyle w:val="Normal"/>
        <w:spacing w:lineRule="auto" w:line="276" w:before="85" w:after="85"/>
        <w:ind w:left="0" w:right="0"/>
        <w:jc w:val="both"/>
        <w:rPr>
          <w:rFonts w:ascii="Verdana" w:hAnsi="Verdana"/>
          <w:sz w:val="20"/>
          <w:szCs w:val="20"/>
        </w:rPr>
      </w:pPr>
      <w:r>
        <w:rPr>
          <w:rFonts w:eastAsia="Calibri" w:cs="Arial" w:ascii="Verdana" w:hAnsi="Verdana"/>
          <w:b w:val="false"/>
          <w:bCs w:val="false"/>
          <w:sz w:val="20"/>
          <w:szCs w:val="20"/>
          <w:highlight w:val="white"/>
          <w:shd w:fill="auto" w:val="clear"/>
        </w:rPr>
        <w:t>5.14. Manter seus dados atualizados perante a Contratada, fazendo comunicar eventuais alterações de representantes, fiscais de contrato, endereços, contatos e demais informações necessárias à execução do contrato.</w:t>
      </w:r>
    </w:p>
    <w:p>
      <w:pPr>
        <w:pStyle w:val="ListParagraph"/>
        <w:spacing w:lineRule="auto" w:line="276" w:before="85" w:after="85"/>
        <w:ind w:hanging="0" w:left="0" w:right="0"/>
        <w:contextualSpacing w:val="false"/>
        <w:jc w:val="both"/>
        <w:rPr>
          <w:rFonts w:ascii="Verdana" w:hAnsi="Verdana"/>
          <w:sz w:val="20"/>
          <w:szCs w:val="20"/>
        </w:rPr>
      </w:pPr>
      <w:r>
        <w:rPr>
          <w:rFonts w:cs="Arial" w:ascii="Verdana" w:hAnsi="Verdana"/>
          <w:b w:val="false"/>
          <w:bCs w:val="false"/>
          <w:i w:val="false"/>
          <w:iCs w:val="false"/>
          <w:color w:val="000000"/>
          <w:sz w:val="20"/>
          <w:szCs w:val="20"/>
        </w:rPr>
        <w:t xml:space="preserve">5.15. Não haverá exigência da garantia da </w:t>
      </w:r>
      <w:r>
        <w:rPr>
          <w:rFonts w:eastAsia="Times New Roman" w:cs="Arial" w:ascii="Verdana" w:hAnsi="Verdana"/>
          <w:b w:val="false"/>
          <w:bCs w:val="false"/>
          <w:i w:val="false"/>
          <w:iCs w:val="false"/>
          <w:color w:val="000000"/>
          <w:sz w:val="20"/>
          <w:szCs w:val="20"/>
        </w:rPr>
        <w:t>aquisição</w:t>
      </w:r>
      <w:r>
        <w:rPr>
          <w:rFonts w:cs="Arial" w:ascii="Verdana" w:hAnsi="Verdana"/>
          <w:b w:val="false"/>
          <w:bCs w:val="false"/>
          <w:i w:val="false"/>
          <w:iCs w:val="false"/>
          <w:color w:val="000000"/>
          <w:sz w:val="20"/>
          <w:szCs w:val="20"/>
        </w:rPr>
        <w:t xml:space="preserve"> dos arts. 96 e seguintes da Lei nº 14.133/21.</w:t>
      </w:r>
    </w:p>
    <w:p>
      <w:pPr>
        <w:pStyle w:val="ListParagraph"/>
        <w:spacing w:lineRule="auto" w:line="276" w:before="85" w:after="85"/>
        <w:ind w:hanging="0" w:left="0" w:right="0"/>
        <w:contextualSpacing w:val="false"/>
        <w:jc w:val="both"/>
        <w:rPr>
          <w:rFonts w:ascii="Verdana" w:hAnsi="Verdana" w:cs="Arial"/>
          <w:b/>
          <w:sz w:val="20"/>
          <w:szCs w:val="20"/>
          <w:u w:val="single"/>
        </w:rPr>
      </w:pPr>
      <w:r>
        <w:rPr>
          <w:rFonts w:cs="Arial" w:ascii="Verdana" w:hAnsi="Verdana"/>
          <w:b/>
          <w:sz w:val="20"/>
          <w:szCs w:val="20"/>
          <w:u w:val="single"/>
        </w:rPr>
      </w:r>
    </w:p>
    <w:p>
      <w:pPr>
        <w:pStyle w:val="Nivel1"/>
        <w:suppressAutoHyphens w:val="true"/>
        <w:spacing w:lineRule="auto" w:line="276" w:before="85" w:after="85"/>
        <w:ind w:hanging="0" w:left="0" w:right="0"/>
        <w:rPr>
          <w:rFonts w:ascii="Verdana" w:hAnsi="Verdana"/>
          <w:sz w:val="20"/>
          <w:szCs w:val="20"/>
        </w:rPr>
      </w:pPr>
      <w:r>
        <w:rPr>
          <w:rFonts w:ascii="Verdana" w:hAnsi="Verdana"/>
          <w:i w:val="false"/>
          <w:iCs w:val="false"/>
          <w:sz w:val="20"/>
          <w:szCs w:val="20"/>
        </w:rPr>
        <w:t>6. ENTREGA E CRITÉRIOS DE ACEITAÇÃO DO OBJETO.</w:t>
      </w:r>
    </w:p>
    <w:p>
      <w:pPr>
        <w:pStyle w:val="Normal"/>
        <w:spacing w:lineRule="auto" w:line="276" w:before="85" w:after="85"/>
        <w:ind w:left="0" w:right="0"/>
        <w:jc w:val="both"/>
        <w:rPr>
          <w:rFonts w:ascii="Verdana" w:hAnsi="Verdana"/>
          <w:sz w:val="20"/>
          <w:szCs w:val="20"/>
        </w:rPr>
      </w:pPr>
      <w:r>
        <w:rPr>
          <w:rFonts w:cs="Arial" w:ascii="Verdana" w:hAnsi="Verdana"/>
          <w:b/>
          <w:sz w:val="20"/>
          <w:szCs w:val="20"/>
          <w:lang w:val="pt-BR"/>
        </w:rPr>
        <w:t>6</w:t>
      </w:r>
      <w:r>
        <w:rPr>
          <w:rFonts w:cs="Arial" w:ascii="Verdana" w:hAnsi="Verdana"/>
          <w:b/>
          <w:sz w:val="20"/>
          <w:szCs w:val="20"/>
        </w:rPr>
        <w:t>.1.</w:t>
      </w:r>
      <w:r>
        <w:rPr>
          <w:rFonts w:cs="Arial" w:ascii="Verdana" w:hAnsi="Verdana"/>
          <w:sz w:val="20"/>
          <w:szCs w:val="20"/>
        </w:rPr>
        <w:t xml:space="preserve"> Os equipamentos deverão ser entregues no Almoxarifado da Atenção Básica com localizaçã</w:t>
      </w:r>
      <w:r>
        <w:rPr>
          <w:rFonts w:cs="Arial" w:ascii="Verdana" w:hAnsi="Verdana"/>
          <w:sz w:val="20"/>
          <w:szCs w:val="20"/>
          <w:lang w:val="pt-BR"/>
        </w:rPr>
        <w:t>o na sede do Município</w:t>
      </w:r>
      <w:r>
        <w:rPr>
          <w:rFonts w:cs="Arial" w:ascii="Verdana" w:hAnsi="Verdana"/>
          <w:sz w:val="20"/>
          <w:szCs w:val="20"/>
        </w:rPr>
        <w:t>, de segunda a quinta feira das 07 h às 16 h, e na sexta feira de 7 h da manha até as 13 h, observando os dias de funcionament</w:t>
      </w:r>
      <w:r>
        <w:rPr>
          <w:rFonts w:cs="Arial" w:ascii="Verdana" w:hAnsi="Verdana"/>
          <w:sz w:val="20"/>
          <w:szCs w:val="20"/>
          <w:lang w:val="pt-BR"/>
        </w:rPr>
        <w:t xml:space="preserve">o, </w:t>
      </w:r>
      <w:r>
        <w:rPr>
          <w:rFonts w:cs="Arial" w:ascii="Verdana" w:hAnsi="Verdana"/>
          <w:sz w:val="20"/>
          <w:szCs w:val="20"/>
        </w:rPr>
        <w:t xml:space="preserve">juntamente com a Nota Fiscal, pelo prazo de </w:t>
      </w:r>
      <w:r>
        <w:rPr>
          <w:rFonts w:cs="Arial" w:ascii="Verdana" w:hAnsi="Verdana"/>
          <w:b/>
          <w:bCs/>
          <w:sz w:val="20"/>
          <w:szCs w:val="20"/>
        </w:rPr>
        <w:t xml:space="preserve">30 dias </w:t>
      </w:r>
      <w:r>
        <w:rPr>
          <w:rFonts w:cs="Arial" w:ascii="Verdana" w:hAnsi="Verdana"/>
          <w:sz w:val="20"/>
          <w:szCs w:val="20"/>
        </w:rPr>
        <w:t xml:space="preserve">a contar do recebimento da Autorização de Fornecimento, emitida pelo Departamento </w:t>
      </w:r>
      <w:r>
        <w:rPr>
          <w:rFonts w:cs="Arial" w:ascii="Verdana" w:hAnsi="Verdana"/>
          <w:sz w:val="20"/>
          <w:szCs w:val="20"/>
          <w:lang w:val="pt-BR"/>
        </w:rPr>
        <w:t>de Compras da Secretaria Municipal de Saúde.</w:t>
      </w:r>
    </w:p>
    <w:p>
      <w:pPr>
        <w:pStyle w:val="Normal"/>
        <w:spacing w:lineRule="auto" w:line="276" w:before="85" w:after="85"/>
        <w:ind w:left="0" w:right="0"/>
        <w:jc w:val="both"/>
        <w:rPr>
          <w:rFonts w:ascii="Verdana" w:hAnsi="Verdana"/>
          <w:sz w:val="20"/>
          <w:szCs w:val="20"/>
        </w:rPr>
      </w:pPr>
      <w:r>
        <w:rPr>
          <w:rFonts w:cs="Arial" w:ascii="Verdana" w:hAnsi="Verdana"/>
          <w:b/>
          <w:sz w:val="20"/>
          <w:szCs w:val="20"/>
          <w:lang w:val="pt-BR"/>
        </w:rPr>
        <w:t>6</w:t>
      </w:r>
      <w:r>
        <w:rPr>
          <w:rFonts w:cs="Arial" w:ascii="Verdana" w:hAnsi="Verdana"/>
          <w:b/>
          <w:sz w:val="20"/>
          <w:szCs w:val="20"/>
        </w:rPr>
        <w:t>.2.</w:t>
      </w:r>
      <w:r>
        <w:rPr>
          <w:rFonts w:cs="Arial" w:ascii="Verdana" w:hAnsi="Verdana"/>
          <w:sz w:val="20"/>
          <w:szCs w:val="20"/>
        </w:rPr>
        <w:t xml:space="preserve"> A entrega deverá ocorrer sem qualquer ônus adicional, bem como a descarga e todas as demais despesas provenientes da mesma, previamente agendada com a Secretaria Municipal de Saúde.</w:t>
      </w:r>
    </w:p>
    <w:p>
      <w:pPr>
        <w:pStyle w:val="Normal"/>
        <w:spacing w:lineRule="auto" w:line="276" w:before="85" w:after="85"/>
        <w:ind w:left="0" w:right="0"/>
        <w:jc w:val="both"/>
        <w:rPr>
          <w:rFonts w:ascii="Verdana" w:hAnsi="Verdana"/>
          <w:sz w:val="20"/>
          <w:szCs w:val="20"/>
        </w:rPr>
      </w:pPr>
      <w:r>
        <w:rPr>
          <w:rFonts w:cs="Arial" w:ascii="Verdana" w:hAnsi="Verdana"/>
          <w:b/>
          <w:sz w:val="20"/>
          <w:szCs w:val="20"/>
          <w:lang w:val="pt-BR"/>
        </w:rPr>
        <w:t>6</w:t>
      </w:r>
      <w:r>
        <w:rPr>
          <w:rFonts w:cs="Arial" w:ascii="Verdana" w:hAnsi="Verdana"/>
          <w:b/>
          <w:sz w:val="20"/>
          <w:szCs w:val="20"/>
        </w:rPr>
        <w:t>.3.</w:t>
      </w:r>
      <w:r>
        <w:rPr>
          <w:rFonts w:cs="Arial" w:ascii="Verdana" w:hAnsi="Verdana"/>
          <w:sz w:val="20"/>
          <w:szCs w:val="20"/>
        </w:rPr>
        <w:t xml:space="preserve"> A CONTRATADA garantirá a qualidade dos equipamentos obrigando-se a repor aquele que apresentar defeito ou for entregue em desacordo com o apresentado na proposta; </w:t>
      </w:r>
    </w:p>
    <w:p>
      <w:pPr>
        <w:pStyle w:val="Normal"/>
        <w:spacing w:lineRule="auto" w:line="276" w:before="85" w:after="85"/>
        <w:ind w:left="0" w:right="0"/>
        <w:jc w:val="both"/>
        <w:rPr>
          <w:rFonts w:ascii="Verdana" w:hAnsi="Verdana"/>
          <w:sz w:val="20"/>
          <w:szCs w:val="20"/>
        </w:rPr>
      </w:pPr>
      <w:r>
        <w:rPr>
          <w:rFonts w:cs="Arial" w:ascii="Verdana" w:hAnsi="Verdana"/>
          <w:b/>
          <w:sz w:val="20"/>
          <w:szCs w:val="20"/>
          <w:lang w:val="pt-BR"/>
        </w:rPr>
        <w:t>6</w:t>
      </w:r>
      <w:r>
        <w:rPr>
          <w:rFonts w:cs="Arial" w:ascii="Verdana" w:hAnsi="Verdana"/>
          <w:b/>
          <w:sz w:val="20"/>
          <w:szCs w:val="20"/>
        </w:rPr>
        <w:t>.</w:t>
      </w:r>
      <w:r>
        <w:rPr>
          <w:rFonts w:cs="Arial" w:ascii="Verdana" w:hAnsi="Verdana"/>
          <w:b/>
          <w:sz w:val="20"/>
          <w:szCs w:val="20"/>
          <w:lang w:val="pt-BR"/>
        </w:rPr>
        <w:t>4.</w:t>
      </w:r>
      <w:r>
        <w:rPr>
          <w:rFonts w:cs="Arial" w:ascii="Verdana" w:hAnsi="Verdana"/>
          <w:sz w:val="20"/>
          <w:szCs w:val="20"/>
        </w:rPr>
        <w:t xml:space="preserve"> O recebimento </w:t>
      </w:r>
      <w:r>
        <w:rPr>
          <w:rFonts w:cs="Arial" w:ascii="Verdana" w:hAnsi="Verdana"/>
          <w:b/>
          <w:sz w:val="20"/>
          <w:szCs w:val="20"/>
        </w:rPr>
        <w:t>provisório</w:t>
      </w:r>
      <w:r>
        <w:rPr>
          <w:rFonts w:cs="Arial" w:ascii="Verdana" w:hAnsi="Verdana"/>
          <w:sz w:val="20"/>
          <w:szCs w:val="20"/>
        </w:rPr>
        <w:t xml:space="preserve"> dos equipamentos entregue dar-se-á pela conferência com a descrição constante da ordem de fornecimento;</w:t>
      </w:r>
    </w:p>
    <w:p>
      <w:pPr>
        <w:pStyle w:val="Normal"/>
        <w:spacing w:lineRule="auto" w:line="276" w:before="85" w:after="85"/>
        <w:ind w:left="0" w:right="0"/>
        <w:jc w:val="both"/>
        <w:rPr>
          <w:rFonts w:ascii="Verdana" w:hAnsi="Verdana"/>
          <w:sz w:val="20"/>
          <w:szCs w:val="20"/>
        </w:rPr>
      </w:pPr>
      <w:r>
        <w:rPr>
          <w:rFonts w:cs="Arial" w:ascii="Verdana" w:hAnsi="Verdana"/>
          <w:b/>
          <w:sz w:val="20"/>
          <w:szCs w:val="20"/>
          <w:lang w:val="pt-BR"/>
        </w:rPr>
        <w:t>6</w:t>
      </w:r>
      <w:r>
        <w:rPr>
          <w:rFonts w:cs="Arial" w:ascii="Verdana" w:hAnsi="Verdana"/>
          <w:b/>
          <w:sz w:val="20"/>
          <w:szCs w:val="20"/>
        </w:rPr>
        <w:t>.</w:t>
      </w:r>
      <w:r>
        <w:rPr>
          <w:rFonts w:cs="Arial" w:ascii="Verdana" w:hAnsi="Verdana"/>
          <w:b/>
          <w:sz w:val="20"/>
          <w:szCs w:val="20"/>
          <w:lang w:val="pt-BR"/>
        </w:rPr>
        <w:t>5.</w:t>
      </w:r>
      <w:r>
        <w:rPr>
          <w:rFonts w:cs="Arial" w:ascii="Verdana" w:hAnsi="Verdana"/>
          <w:sz w:val="20"/>
          <w:szCs w:val="20"/>
        </w:rPr>
        <w:t xml:space="preserve"> O recebimento </w:t>
      </w:r>
      <w:r>
        <w:rPr>
          <w:rFonts w:cs="Arial" w:ascii="Verdana" w:hAnsi="Verdana"/>
          <w:b/>
          <w:sz w:val="20"/>
          <w:szCs w:val="20"/>
        </w:rPr>
        <w:t>definitivo</w:t>
      </w:r>
      <w:r>
        <w:rPr>
          <w:rFonts w:cs="Arial" w:ascii="Verdana" w:hAnsi="Verdana"/>
          <w:sz w:val="20"/>
          <w:szCs w:val="20"/>
        </w:rPr>
        <w:t xml:space="preserve"> ocorrerá com a verificação integral das características do produto fornecido pela CONTRATADA;</w:t>
      </w:r>
    </w:p>
    <w:p>
      <w:pPr>
        <w:pStyle w:val="Normal"/>
        <w:spacing w:lineRule="auto" w:line="276" w:before="85" w:after="85"/>
        <w:ind w:left="0" w:right="0"/>
        <w:jc w:val="both"/>
        <w:rPr>
          <w:rFonts w:ascii="Verdana" w:hAnsi="Verdana"/>
          <w:sz w:val="20"/>
          <w:szCs w:val="20"/>
        </w:rPr>
      </w:pPr>
      <w:r>
        <w:rPr>
          <w:rFonts w:cs="Arial" w:ascii="Verdana" w:hAnsi="Verdana"/>
          <w:b/>
          <w:sz w:val="20"/>
          <w:szCs w:val="20"/>
          <w:lang w:val="pt-BR"/>
        </w:rPr>
        <w:t>6</w:t>
      </w:r>
      <w:r>
        <w:rPr>
          <w:rFonts w:cs="Arial" w:ascii="Verdana" w:hAnsi="Verdana"/>
          <w:b/>
          <w:sz w:val="20"/>
          <w:szCs w:val="20"/>
        </w:rPr>
        <w:t>.</w:t>
      </w:r>
      <w:r>
        <w:rPr>
          <w:rFonts w:cs="Arial" w:ascii="Verdana" w:hAnsi="Verdana"/>
          <w:b/>
          <w:sz w:val="20"/>
          <w:szCs w:val="20"/>
          <w:lang w:val="pt-BR"/>
        </w:rPr>
        <w:t>6.</w:t>
      </w:r>
      <w:r>
        <w:rPr>
          <w:rFonts w:cs="Arial" w:ascii="Verdana" w:hAnsi="Verdana"/>
          <w:sz w:val="20"/>
          <w:szCs w:val="20"/>
        </w:rPr>
        <w:t xml:space="preserve"> O recebimento definitivo não isenta a CONTRATADA de responsabilidades futuras quanto à qualidade dos fornecimentos e serviços prestados.</w:t>
      </w:r>
    </w:p>
    <w:p>
      <w:pPr>
        <w:pStyle w:val="Normal"/>
        <w:spacing w:lineRule="auto" w:line="276" w:before="85" w:after="85"/>
        <w:ind w:left="0" w:right="0"/>
        <w:jc w:val="both"/>
        <w:rPr>
          <w:rFonts w:ascii="Verdana" w:hAnsi="Verdana"/>
          <w:sz w:val="20"/>
          <w:szCs w:val="20"/>
        </w:rPr>
      </w:pPr>
      <w:r>
        <w:rPr>
          <w:rFonts w:cs="Arial" w:ascii="Verdana" w:hAnsi="Verdana"/>
          <w:b/>
          <w:sz w:val="20"/>
          <w:szCs w:val="20"/>
          <w:lang w:val="pt-BR"/>
        </w:rPr>
        <w:t>6</w:t>
      </w:r>
      <w:r>
        <w:rPr>
          <w:rFonts w:cs="Arial" w:ascii="Verdana" w:hAnsi="Verdana"/>
          <w:b/>
          <w:sz w:val="20"/>
          <w:szCs w:val="20"/>
        </w:rPr>
        <w:t>.</w:t>
      </w:r>
      <w:r>
        <w:rPr>
          <w:rFonts w:cs="Arial" w:ascii="Verdana" w:hAnsi="Verdana"/>
          <w:b/>
          <w:sz w:val="20"/>
          <w:szCs w:val="20"/>
          <w:lang w:val="pt-BR"/>
        </w:rPr>
        <w:t>7.</w:t>
      </w:r>
      <w:r>
        <w:rPr>
          <w:rFonts w:cs="Arial" w:ascii="Verdana" w:hAnsi="Verdana"/>
          <w:sz w:val="20"/>
          <w:szCs w:val="20"/>
        </w:rPr>
        <w:t xml:space="preserve"> O recebimento provisório dos equipamentos não implica aceitação dos mesmos;</w:t>
      </w:r>
    </w:p>
    <w:p>
      <w:pPr>
        <w:pStyle w:val="Normal"/>
        <w:spacing w:lineRule="auto" w:line="276" w:before="85" w:after="85"/>
        <w:ind w:hanging="0" w:left="0" w:right="0"/>
        <w:jc w:val="both"/>
        <w:rPr>
          <w:rFonts w:ascii="Verdana" w:hAnsi="Verdana"/>
          <w:sz w:val="20"/>
          <w:szCs w:val="20"/>
        </w:rPr>
      </w:pPr>
      <w:r>
        <w:rPr>
          <w:rFonts w:cs="Arial" w:ascii="Verdana" w:hAnsi="Verdana"/>
          <w:b/>
          <w:bCs w:val="false"/>
          <w:i w:val="false"/>
          <w:iCs w:val="false"/>
          <w:color w:val="000000"/>
          <w:sz w:val="20"/>
          <w:szCs w:val="20"/>
          <w:lang w:val="pt-BR"/>
        </w:rPr>
        <w:t>6</w:t>
      </w:r>
      <w:r>
        <w:rPr>
          <w:rFonts w:cs="Arial" w:ascii="Verdana" w:hAnsi="Verdana"/>
          <w:b/>
          <w:bCs w:val="false"/>
          <w:i w:val="false"/>
          <w:iCs w:val="false"/>
          <w:color w:val="000000"/>
          <w:sz w:val="20"/>
          <w:szCs w:val="20"/>
        </w:rPr>
        <w:t>.</w:t>
      </w:r>
      <w:r>
        <w:rPr>
          <w:rFonts w:cs="Arial" w:ascii="Verdana" w:hAnsi="Verdana"/>
          <w:b/>
          <w:bCs w:val="false"/>
          <w:i w:val="false"/>
          <w:iCs w:val="false"/>
          <w:color w:val="000000"/>
          <w:sz w:val="20"/>
          <w:szCs w:val="20"/>
          <w:lang w:val="pt-BR"/>
        </w:rPr>
        <w:t xml:space="preserve">8. </w:t>
      </w:r>
      <w:r>
        <w:rPr>
          <w:rFonts w:cs="Arial" w:ascii="Verdana" w:hAnsi="Verdana"/>
          <w:b w:val="false"/>
          <w:bCs w:val="false"/>
          <w:i w:val="false"/>
          <w:iCs w:val="false"/>
          <w:color w:val="000000"/>
          <w:sz w:val="20"/>
          <w:szCs w:val="20"/>
        </w:rPr>
        <w:t>Havendo erro na Nota Fiscal ou outra circunstância impeditiva, o recebimento definitivo será suspenso, até que a empresa tome as medidas saneadoras necessárias;</w:t>
      </w:r>
    </w:p>
    <w:p>
      <w:pPr>
        <w:pStyle w:val="Normal"/>
        <w:spacing w:lineRule="auto" w:line="276" w:before="85" w:after="85"/>
        <w:ind w:hanging="0" w:left="0" w:right="0"/>
        <w:jc w:val="both"/>
        <w:rPr>
          <w:rFonts w:ascii="Verdana" w:hAnsi="Verdana"/>
          <w:sz w:val="20"/>
          <w:szCs w:val="20"/>
        </w:rPr>
      </w:pPr>
      <w:r>
        <w:rPr>
          <w:rFonts w:cs="Arial" w:ascii="Verdana" w:hAnsi="Verdana"/>
          <w:b w:val="false"/>
          <w:bCs w:val="false"/>
          <w:i w:val="false"/>
          <w:iCs w:val="false"/>
          <w:color w:val="000000"/>
          <w:sz w:val="20"/>
          <w:szCs w:val="20"/>
        </w:rPr>
        <w:t>6.9.</w:t>
      </w:r>
      <w:r>
        <w:rPr>
          <w:rFonts w:cs="Arial" w:ascii="Verdana" w:hAnsi="Verdana"/>
          <w:b w:val="false"/>
          <w:bCs w:val="false"/>
          <w:i w:val="false"/>
          <w:iCs w:val="false"/>
          <w:color w:val="000000"/>
          <w:sz w:val="20"/>
          <w:szCs w:val="20"/>
          <w:shd w:fill="auto" w:val="clear"/>
        </w:rPr>
        <w:t xml:space="preserve"> Todos os equipamentos solicitados devem vir devidamente identificados contendo: Garantia do produto, nome empresa Fabricante do produto, Registro na ANVISA/MS e Manual de instruções.</w:t>
      </w:r>
    </w:p>
    <w:p>
      <w:pPr>
        <w:pStyle w:val="Normal"/>
        <w:spacing w:lineRule="auto" w:line="276" w:before="85" w:after="85"/>
        <w:ind w:hanging="0" w:left="0" w:right="0"/>
        <w:jc w:val="both"/>
        <w:rPr>
          <w:rFonts w:ascii="Verdana" w:hAnsi="Verdana"/>
          <w:sz w:val="20"/>
          <w:szCs w:val="20"/>
        </w:rPr>
      </w:pPr>
      <w:r>
        <w:rPr>
          <w:rFonts w:cs="Arial" w:ascii="Verdana" w:hAnsi="Verdana"/>
          <w:b w:val="false"/>
          <w:bCs w:val="false"/>
          <w:i w:val="false"/>
          <w:iCs w:val="false"/>
          <w:color w:val="000000"/>
          <w:sz w:val="20"/>
          <w:szCs w:val="20"/>
          <w:shd w:fill="auto" w:val="clear"/>
        </w:rPr>
        <w:t>6.10. A CONTRATADA deverá informar representante legal do fabricante para futuras manutenções referentes a Marca cotada.</w:t>
      </w:r>
    </w:p>
    <w:p>
      <w:pPr>
        <w:pStyle w:val="Normal"/>
        <w:widowControl/>
        <w:numPr>
          <w:ilvl w:val="0"/>
          <w:numId w:val="1"/>
        </w:numPr>
        <w:tabs>
          <w:tab w:val="clear" w:pos="708"/>
          <w:tab w:val="left" w:pos="390" w:leader="none"/>
        </w:tabs>
        <w:suppressAutoHyphens w:val="true"/>
        <w:bidi w:val="0"/>
        <w:spacing w:lineRule="auto" w:line="276" w:before="85" w:after="85"/>
        <w:ind w:hanging="0" w:left="0" w:right="0"/>
        <w:jc w:val="both"/>
        <w:rPr/>
      </w:pPr>
      <w:r>
        <w:rPr>
          <w:rFonts w:cs="Arial" w:ascii="Verdana" w:hAnsi="Verdana"/>
          <w:b/>
          <w:sz w:val="20"/>
          <w:szCs w:val="20"/>
        </w:rPr>
        <w:t>CONTATO</w:t>
      </w:r>
    </w:p>
    <w:p>
      <w:pPr>
        <w:pStyle w:val="Normal"/>
        <w:spacing w:lineRule="auto" w:line="276" w:before="85" w:after="85"/>
        <w:ind w:left="0" w:right="0"/>
        <w:jc w:val="both"/>
        <w:rPr>
          <w:rFonts w:ascii="Verdana" w:hAnsi="Verdana"/>
          <w:sz w:val="20"/>
          <w:szCs w:val="20"/>
        </w:rPr>
      </w:pPr>
      <w:r>
        <w:rPr>
          <w:rFonts w:cs="Arial" w:ascii="Verdana" w:hAnsi="Verdana"/>
          <w:b/>
          <w:sz w:val="20"/>
          <w:szCs w:val="20"/>
        </w:rPr>
        <w:t xml:space="preserve">Tel: </w:t>
      </w:r>
      <w:r>
        <w:rPr>
          <w:rFonts w:cs="Arial" w:ascii="Verdana" w:hAnsi="Verdana"/>
          <w:sz w:val="20"/>
          <w:szCs w:val="20"/>
        </w:rPr>
        <w:t>27 9 9740 8895</w:t>
      </w:r>
    </w:p>
    <w:p>
      <w:pPr>
        <w:pStyle w:val="Normal"/>
        <w:spacing w:lineRule="auto" w:line="276" w:before="85" w:after="85"/>
        <w:ind w:left="0" w:right="0"/>
        <w:jc w:val="both"/>
        <w:rPr>
          <w:rFonts w:ascii="Verdana" w:hAnsi="Verdana"/>
          <w:sz w:val="20"/>
          <w:szCs w:val="20"/>
        </w:rPr>
      </w:pPr>
      <w:r>
        <w:rPr>
          <w:rFonts w:cs="Arial" w:ascii="Verdana" w:hAnsi="Verdana"/>
          <w:b/>
          <w:sz w:val="20"/>
          <w:szCs w:val="20"/>
        </w:rPr>
        <w:t xml:space="preserve">Email: </w:t>
      </w:r>
      <w:r>
        <w:rPr>
          <w:rFonts w:cs="Arial" w:ascii="Verdana" w:hAnsi="Verdana"/>
          <w:b w:val="false"/>
          <w:bCs w:val="false"/>
          <w:sz w:val="20"/>
          <w:szCs w:val="20"/>
          <w:lang w:val="pt-BR"/>
        </w:rPr>
        <w:t>setorcomprassgp</w:t>
      </w:r>
      <w:r>
        <w:rPr>
          <w:rFonts w:cs="Arial" w:ascii="Verdana" w:hAnsi="Verdana"/>
          <w:sz w:val="20"/>
          <w:szCs w:val="20"/>
        </w:rPr>
        <w:t>@gmail.com</w:t>
      </w:r>
    </w:p>
    <w:p>
      <w:pPr>
        <w:pStyle w:val="Normal"/>
        <w:spacing w:lineRule="auto" w:line="276" w:before="85" w:after="85"/>
        <w:ind w:hanging="0" w:left="0" w:right="0"/>
        <w:jc w:val="both"/>
        <w:rPr>
          <w:rFonts w:ascii="Verdana" w:hAnsi="Verdana"/>
          <w:sz w:val="20"/>
          <w:szCs w:val="20"/>
        </w:rPr>
      </w:pPr>
      <w:r>
        <w:rPr>
          <w:rFonts w:cs="Arial" w:ascii="Verdana" w:hAnsi="Verdana"/>
          <w:b/>
          <w:bCs w:val="false"/>
          <w:i w:val="false"/>
          <w:iCs w:val="false"/>
          <w:color w:val="000000"/>
          <w:sz w:val="20"/>
          <w:szCs w:val="20"/>
        </w:rPr>
        <w:t xml:space="preserve">Responsável: </w:t>
      </w:r>
      <w:r>
        <w:rPr>
          <w:rFonts w:cs="Arial" w:ascii="Verdana" w:hAnsi="Verdana"/>
          <w:b w:val="false"/>
          <w:bCs w:val="false"/>
          <w:i w:val="false"/>
          <w:iCs w:val="false"/>
          <w:color w:val="000000"/>
          <w:sz w:val="20"/>
          <w:szCs w:val="20"/>
        </w:rPr>
        <w:t>Secretaria Municipal de Saúde</w:t>
      </w:r>
    </w:p>
    <w:p>
      <w:pPr>
        <w:pStyle w:val="Normal"/>
        <w:spacing w:lineRule="auto" w:line="276" w:before="85" w:after="85"/>
        <w:ind w:hanging="0" w:left="0" w:right="0"/>
        <w:jc w:val="both"/>
        <w:rPr>
          <w:rFonts w:ascii="Verdana" w:hAnsi="Verdana" w:cs="Arial"/>
          <w:b/>
          <w:sz w:val="20"/>
          <w:szCs w:val="20"/>
          <w:u w:val="single"/>
        </w:rPr>
      </w:pPr>
      <w:r>
        <w:rPr>
          <w:rFonts w:cs="Arial" w:ascii="Verdana" w:hAnsi="Verdana"/>
          <w:b/>
          <w:sz w:val="20"/>
          <w:szCs w:val="20"/>
          <w:u w:val="single"/>
        </w:rPr>
      </w:r>
    </w:p>
    <w:p>
      <w:pPr>
        <w:pStyle w:val="Normal"/>
        <w:spacing w:lineRule="auto" w:line="276" w:before="85" w:after="85"/>
        <w:ind w:hanging="0" w:left="0" w:right="0"/>
        <w:jc w:val="both"/>
        <w:rPr>
          <w:rFonts w:ascii="Verdana" w:hAnsi="Verdana"/>
          <w:sz w:val="20"/>
          <w:szCs w:val="20"/>
        </w:rPr>
      </w:pPr>
      <w:r>
        <w:rPr>
          <w:rFonts w:cs="Arial" w:ascii="Verdana" w:hAnsi="Verdana"/>
          <w:b/>
          <w:bCs/>
          <w:i w:val="false"/>
          <w:iCs w:val="false"/>
          <w:color w:val="000000"/>
          <w:sz w:val="20"/>
          <w:szCs w:val="20"/>
        </w:rPr>
        <w:t>7. OBRIGAÇÕES DA CONTRATANTE</w:t>
      </w:r>
    </w:p>
    <w:p>
      <w:pPr>
        <w:pStyle w:val="Normal"/>
        <w:spacing w:lineRule="auto" w:line="276" w:before="85" w:after="85"/>
        <w:ind w:hanging="0" w:left="0" w:right="0"/>
        <w:jc w:val="both"/>
        <w:rPr>
          <w:rFonts w:ascii="Verdana" w:hAnsi="Verdana"/>
          <w:sz w:val="20"/>
          <w:szCs w:val="20"/>
        </w:rPr>
      </w:pPr>
      <w:r>
        <w:rPr>
          <w:rFonts w:eastAsia="Times New Roman" w:cs="Arial" w:ascii="Verdana" w:hAnsi="Verdana"/>
          <w:b w:val="false"/>
          <w:bCs w:val="false"/>
          <w:i w:val="false"/>
          <w:iCs w:val="false"/>
          <w:color w:val="000000"/>
          <w:sz w:val="20"/>
          <w:szCs w:val="20"/>
        </w:rPr>
        <w:t>7.1.</w:t>
      </w:r>
      <w:r>
        <w:rPr>
          <w:rFonts w:cs="Arial" w:ascii="Verdana" w:hAnsi="Verdana"/>
          <w:b w:val="false"/>
          <w:bCs w:val="false"/>
          <w:i w:val="false"/>
          <w:iCs w:val="false"/>
          <w:color w:val="000000"/>
          <w:sz w:val="20"/>
          <w:szCs w:val="20"/>
        </w:rPr>
        <w:t xml:space="preserve"> Receber os equipamentos no prazo e condições estabelecidas neste Termo de Referência e seus anexos.</w:t>
      </w:r>
    </w:p>
    <w:p>
      <w:pPr>
        <w:pStyle w:val="Normal"/>
        <w:spacing w:lineRule="auto" w:line="276" w:before="85" w:after="85"/>
        <w:ind w:hanging="0" w:left="0" w:right="0"/>
        <w:jc w:val="both"/>
        <w:rPr>
          <w:rFonts w:ascii="Verdana" w:hAnsi="Verdana"/>
          <w:sz w:val="20"/>
          <w:szCs w:val="20"/>
        </w:rPr>
      </w:pPr>
      <w:r>
        <w:rPr>
          <w:rFonts w:cs="Arial" w:ascii="Verdana" w:hAnsi="Verdana"/>
          <w:b w:val="false"/>
          <w:bCs w:val="false"/>
          <w:i w:val="false"/>
          <w:iCs w:val="false"/>
          <w:color w:val="000000"/>
          <w:sz w:val="20"/>
          <w:szCs w:val="20"/>
        </w:rPr>
        <w:t xml:space="preserve">7.2. </w:t>
      </w:r>
      <w:bookmarkStart w:id="4" w:name="page68R_mcid7"/>
      <w:r>
        <w:rPr>
          <w:rFonts w:cs="Arial" w:ascii="Verdana" w:hAnsi="Verdana"/>
          <w:b w:val="false"/>
          <w:bCs w:val="false"/>
          <w:i w:val="false"/>
          <w:iCs w:val="false"/>
          <w:color w:val="000000"/>
          <w:sz w:val="20"/>
          <w:szCs w:val="20"/>
        </w:rPr>
        <w:t>Verificar minuciosamente, no prazo fixado, a conformidade dos bens recebidos provisoriamente com as especificações constantes neste Termo de Referência e da proposta, para fins de aceitação e recebimento definitivo.</w:t>
      </w:r>
    </w:p>
    <w:p>
      <w:pPr>
        <w:pStyle w:val="Normal"/>
        <w:spacing w:lineRule="auto" w:line="276" w:before="85" w:after="85"/>
        <w:ind w:hanging="0" w:left="0" w:right="0"/>
        <w:jc w:val="both"/>
        <w:rPr>
          <w:rFonts w:ascii="Verdana" w:hAnsi="Verdana"/>
          <w:sz w:val="20"/>
          <w:szCs w:val="20"/>
        </w:rPr>
      </w:pPr>
      <w:r>
        <w:rPr>
          <w:rFonts w:cs="Arial" w:ascii="Verdana" w:hAnsi="Verdana"/>
          <w:b w:val="false"/>
          <w:bCs w:val="false"/>
          <w:i w:val="false"/>
          <w:iCs w:val="false"/>
          <w:color w:val="000000"/>
          <w:sz w:val="20"/>
          <w:szCs w:val="20"/>
        </w:rPr>
        <w:t>7.3. Comunicar à Contratada, por escrito, sobre imperfeições, falhas ou irregularidades verificadas no objeto fornecido, para que seja substituído, reparado ou corrigido.</w:t>
      </w:r>
    </w:p>
    <w:p>
      <w:pPr>
        <w:pStyle w:val="Normal"/>
        <w:spacing w:lineRule="auto" w:line="276" w:before="85" w:after="85"/>
        <w:ind w:hanging="0" w:left="0" w:right="0"/>
        <w:jc w:val="both"/>
        <w:rPr>
          <w:rFonts w:ascii="Verdana" w:hAnsi="Verdana"/>
          <w:sz w:val="20"/>
          <w:szCs w:val="20"/>
        </w:rPr>
      </w:pPr>
      <w:r>
        <w:rPr>
          <w:rFonts w:cs="Arial" w:ascii="Verdana" w:hAnsi="Verdana"/>
          <w:b w:val="false"/>
          <w:bCs w:val="false"/>
          <w:i w:val="false"/>
          <w:iCs w:val="false"/>
          <w:color w:val="000000"/>
          <w:sz w:val="20"/>
          <w:szCs w:val="20"/>
        </w:rPr>
        <w:t xml:space="preserve">7.4. Acompanhar e fiscalizar o cumprimento das obrigações da Contratada, através </w:t>
      </w:r>
      <w:r>
        <w:rPr>
          <w:rFonts w:cs="Arial" w:ascii="Verdana" w:hAnsi="Verdana"/>
          <w:b w:val="false"/>
          <w:bCs w:val="false"/>
          <w:i w:val="false"/>
          <w:iCs w:val="false"/>
          <w:color w:val="000000"/>
          <w:sz w:val="20"/>
          <w:szCs w:val="20"/>
          <w:u w:val="none"/>
        </w:rPr>
        <w:t>do setor responsável.</w:t>
      </w:r>
    </w:p>
    <w:p>
      <w:pPr>
        <w:pStyle w:val="Normal"/>
        <w:spacing w:lineRule="auto" w:line="276" w:before="85" w:after="85"/>
        <w:ind w:hanging="0" w:left="0" w:right="0"/>
        <w:jc w:val="both"/>
        <w:rPr>
          <w:rFonts w:ascii="Verdana" w:hAnsi="Verdana"/>
          <w:sz w:val="20"/>
          <w:szCs w:val="20"/>
        </w:rPr>
      </w:pPr>
      <w:r>
        <w:rPr>
          <w:rFonts w:cs="Arial" w:ascii="Verdana" w:hAnsi="Verdana"/>
          <w:b w:val="false"/>
          <w:bCs w:val="false"/>
          <w:i w:val="false"/>
          <w:iCs w:val="false"/>
          <w:color w:val="000000"/>
          <w:sz w:val="20"/>
          <w:szCs w:val="20"/>
        </w:rPr>
        <w:t>7.5. Efetuar o pagamento à Contratada no valor correspondente ao fornecimento dos equipamentos no prazo e forma estabelecidos neste TR e seus anexos.</w:t>
      </w:r>
    </w:p>
    <w:p>
      <w:pPr>
        <w:pStyle w:val="Normal"/>
        <w:spacing w:lineRule="auto" w:line="276" w:before="85" w:after="85"/>
        <w:ind w:hanging="0" w:left="0" w:right="0"/>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7.6. </w:t>
      </w:r>
      <w:r>
        <w:rPr>
          <w:rFonts w:cs="Arial" w:ascii="Verdana" w:hAnsi="Verdana"/>
          <w:b w:val="false"/>
          <w:bCs w:val="false"/>
          <w:i w:val="false"/>
          <w:iCs w:val="false"/>
          <w:color w:val="000000"/>
          <w:sz w:val="20"/>
          <w:szCs w:val="20"/>
        </w:rPr>
        <w:t xml:space="preserve">A Administração não responderá por quaisquer compromissos assumidos pela Contratada com terceiros, ainda que vinculados à execução da presente </w:t>
      </w:r>
      <w:r>
        <w:rPr>
          <w:rFonts w:eastAsia="Times New Roman" w:cs="Arial" w:ascii="Verdana" w:hAnsi="Verdana"/>
          <w:b w:val="false"/>
          <w:bCs w:val="false"/>
          <w:i w:val="false"/>
          <w:iCs w:val="false"/>
          <w:color w:val="000000"/>
          <w:sz w:val="20"/>
          <w:szCs w:val="20"/>
        </w:rPr>
        <w:t>Ata de Registro de Preços</w:t>
      </w:r>
      <w:r>
        <w:rPr>
          <w:rFonts w:cs="Arial" w:ascii="Verdana" w:hAnsi="Verdana"/>
          <w:b w:val="false"/>
          <w:bCs w:val="false"/>
          <w:i w:val="false"/>
          <w:iCs w:val="false"/>
          <w:color w:val="000000"/>
          <w:sz w:val="20"/>
          <w:szCs w:val="20"/>
        </w:rPr>
        <w:t>, bem como por qualquer dano causado a terceiros em decorrência de ato da Contratada, de seus empregados, prepostos ou subordinados.</w:t>
      </w:r>
    </w:p>
    <w:p>
      <w:pPr>
        <w:pStyle w:val="Normal"/>
        <w:spacing w:lineRule="auto" w:line="276" w:before="85" w:after="85"/>
        <w:ind w:hanging="0" w:left="0" w:right="0"/>
        <w:jc w:val="both"/>
        <w:rPr>
          <w:rFonts w:ascii="Verdana" w:hAnsi="Verdana" w:cs="Arial"/>
          <w:b/>
          <w:sz w:val="20"/>
          <w:szCs w:val="20"/>
          <w:u w:val="single"/>
        </w:rPr>
      </w:pPr>
      <w:r>
        <w:rPr>
          <w:rFonts w:cs="Arial" w:ascii="Verdana" w:hAnsi="Verdana"/>
          <w:b/>
          <w:sz w:val="20"/>
          <w:szCs w:val="20"/>
          <w:u w:val="single"/>
        </w:rPr>
      </w:r>
    </w:p>
    <w:p>
      <w:pPr>
        <w:pStyle w:val="Normal"/>
        <w:spacing w:lineRule="auto" w:line="276" w:before="85" w:after="85"/>
        <w:ind w:hanging="0" w:left="0" w:right="0"/>
        <w:jc w:val="both"/>
        <w:rPr>
          <w:rFonts w:ascii="Verdana" w:hAnsi="Verdana"/>
          <w:sz w:val="20"/>
          <w:szCs w:val="20"/>
        </w:rPr>
      </w:pPr>
      <w:r>
        <w:rPr>
          <w:rFonts w:cs="Arial" w:ascii="Verdana" w:hAnsi="Verdana"/>
          <w:b/>
          <w:bCs/>
          <w:i w:val="false"/>
          <w:iCs w:val="false"/>
          <w:color w:val="000000"/>
          <w:sz w:val="20"/>
          <w:szCs w:val="20"/>
        </w:rPr>
        <w:t>8. OBRIGAÇÕES DA CONTRATADA</w:t>
      </w:r>
    </w:p>
    <w:p>
      <w:pPr>
        <w:pStyle w:val="Normal"/>
        <w:spacing w:lineRule="auto" w:line="276" w:before="85" w:after="85"/>
        <w:ind w:hanging="0" w:left="0" w:right="0"/>
        <w:jc w:val="both"/>
        <w:rPr>
          <w:rFonts w:ascii="Verdana" w:hAnsi="Verdana"/>
          <w:sz w:val="20"/>
          <w:szCs w:val="20"/>
        </w:rPr>
      </w:pPr>
      <w:r>
        <w:rPr>
          <w:rFonts w:cs="Arial" w:ascii="Verdana" w:hAnsi="Verdana"/>
          <w:b w:val="false"/>
          <w:bCs w:val="false"/>
          <w:i w:val="false"/>
          <w:iCs w:val="false"/>
          <w:color w:val="000000"/>
          <w:sz w:val="20"/>
          <w:szCs w:val="20"/>
        </w:rPr>
        <w:t>8.1. A Contratada deve cumprir todas as obrigações constantes neste TR, seus anexos e sua proposta, assumindo como exclusivamente seus os riscos e as despesas decorrentes da boa e perfeita execução do objeto.</w:t>
      </w:r>
      <w:bookmarkStart w:id="5" w:name="page68R_mcid171"/>
    </w:p>
    <w:p>
      <w:pPr>
        <w:pStyle w:val="Normal"/>
        <w:spacing w:lineRule="auto" w:line="276" w:before="85" w:after="85"/>
        <w:ind w:hanging="0" w:left="0" w:right="0"/>
        <w:jc w:val="both"/>
        <w:rPr>
          <w:rFonts w:ascii="Verdana" w:hAnsi="Verdana"/>
          <w:sz w:val="20"/>
          <w:szCs w:val="20"/>
        </w:rPr>
      </w:pPr>
      <w:r>
        <w:rPr>
          <w:rFonts w:cs="Arial" w:ascii="Verdana" w:hAnsi="Verdana"/>
          <w:b w:val="false"/>
          <w:bCs w:val="false"/>
          <w:i w:val="false"/>
          <w:iCs w:val="false"/>
          <w:color w:val="000000"/>
          <w:sz w:val="20"/>
          <w:szCs w:val="20"/>
        </w:rPr>
        <w:t>8.2. Efetuar a entrega dos equipamentos em perfeitas condições, conforme especificações, prazo e local constantes no Termo de Referência e seus anexos, acompanhado da respectiva nota fiscal, na qual constarão as indicações referentes a: marca, fabricante, modelo, procedência e prazo de validade.</w:t>
      </w:r>
    </w:p>
    <w:p>
      <w:pPr>
        <w:pStyle w:val="Normal"/>
        <w:spacing w:lineRule="auto" w:line="276" w:before="85" w:after="85"/>
        <w:ind w:hanging="0" w:left="0" w:right="0"/>
        <w:jc w:val="both"/>
        <w:rPr>
          <w:rFonts w:ascii="Verdana" w:hAnsi="Verdana"/>
          <w:sz w:val="20"/>
          <w:szCs w:val="20"/>
        </w:rPr>
      </w:pPr>
      <w:r>
        <w:rPr>
          <w:rFonts w:cs="Arial" w:ascii="Verdana" w:hAnsi="Verdana"/>
          <w:b w:val="false"/>
          <w:bCs w:val="false"/>
          <w:i w:val="false"/>
          <w:iCs w:val="false"/>
          <w:color w:val="000000"/>
          <w:sz w:val="20"/>
          <w:szCs w:val="20"/>
        </w:rPr>
        <w:t>8.3. Responsabilizar-se pelos vícios e danos decorrentes do objeto, de acordo com os artigos 12, 13 e 17 a 27, do Código de Defesa do Consumidor (Lei nº 8.078, de 1990).</w:t>
      </w:r>
    </w:p>
    <w:p>
      <w:pPr>
        <w:pStyle w:val="Normal"/>
        <w:spacing w:lineRule="auto" w:line="276" w:before="85" w:after="85"/>
        <w:ind w:hanging="0" w:left="0" w:right="0"/>
        <w:jc w:val="both"/>
        <w:rPr>
          <w:rFonts w:ascii="Verdana" w:hAnsi="Verdana"/>
          <w:sz w:val="20"/>
          <w:szCs w:val="20"/>
        </w:rPr>
      </w:pPr>
      <w:r>
        <w:rPr>
          <w:rFonts w:cs="Arial" w:ascii="Verdana" w:hAnsi="Verdana"/>
          <w:b w:val="false"/>
          <w:bCs w:val="false"/>
          <w:i w:val="false"/>
          <w:iCs w:val="false"/>
          <w:color w:val="000000"/>
          <w:sz w:val="20"/>
          <w:szCs w:val="20"/>
        </w:rPr>
        <w:t>8.4. Substituir, reparar ou corrigir, às suas expensas, no prazo fixado neste Termo de Referência, o objeto com avarias ou defeitos.</w:t>
      </w:r>
    </w:p>
    <w:p>
      <w:pPr>
        <w:pStyle w:val="Normal"/>
        <w:spacing w:lineRule="auto" w:line="276" w:before="85" w:after="85"/>
        <w:ind w:hanging="0" w:left="0" w:right="0"/>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8.5. </w:t>
      </w:r>
      <w:r>
        <w:rPr>
          <w:rFonts w:cs="Arial" w:ascii="Verdana" w:hAnsi="Verdana"/>
          <w:b w:val="false"/>
          <w:bCs w:val="false"/>
          <w:i w:val="false"/>
          <w:iCs w:val="false"/>
          <w:color w:val="000000"/>
          <w:sz w:val="20"/>
          <w:szCs w:val="20"/>
        </w:rPr>
        <w:t>Comunicar à Contratante, no prazo máximo de 05 (cinco) dias que antecede a data da entrega, os motivos que impossibilitem o cumprimento do prazo previsto, com a devida comprovação.</w:t>
      </w:r>
    </w:p>
    <w:p>
      <w:pPr>
        <w:pStyle w:val="Normal"/>
        <w:spacing w:lineRule="auto" w:line="276" w:before="85" w:after="85"/>
        <w:ind w:hanging="0" w:left="0" w:right="0"/>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8.6. </w:t>
      </w:r>
      <w:r>
        <w:rPr>
          <w:rFonts w:cs="Arial" w:ascii="Verdana" w:hAnsi="Verdana"/>
          <w:b w:val="false"/>
          <w:bCs w:val="false"/>
          <w:i w:val="false"/>
          <w:iCs w:val="false"/>
          <w:color w:val="000000"/>
          <w:sz w:val="20"/>
          <w:szCs w:val="20"/>
        </w:rPr>
        <w:t>Manter, durante toda a execução d</w:t>
      </w:r>
      <w:r>
        <w:rPr>
          <w:rFonts w:eastAsia="Times New Roman" w:cs="Arial" w:ascii="Verdana" w:hAnsi="Verdana"/>
          <w:b w:val="false"/>
          <w:bCs w:val="false"/>
          <w:i w:val="false"/>
          <w:iCs w:val="false"/>
          <w:color w:val="000000"/>
          <w:sz w:val="20"/>
          <w:szCs w:val="20"/>
        </w:rPr>
        <w:t>a ata de registro de preços</w:t>
      </w:r>
      <w:r>
        <w:rPr>
          <w:rFonts w:cs="Arial" w:ascii="Verdana" w:hAnsi="Verdana"/>
          <w:b w:val="false"/>
          <w:bCs w:val="false"/>
          <w:i w:val="false"/>
          <w:iCs w:val="false"/>
          <w:color w:val="000000"/>
          <w:sz w:val="20"/>
          <w:szCs w:val="20"/>
        </w:rPr>
        <w:t>, em compatibilidade com as obrigações assumidas, todas as condições de habilitação e qualificação exigidas na licitação.</w:t>
      </w:r>
    </w:p>
    <w:p>
      <w:pPr>
        <w:pStyle w:val="Normal"/>
        <w:tabs>
          <w:tab w:val="clear" w:pos="708"/>
          <w:tab w:val="left" w:pos="0" w:leader="none"/>
        </w:tabs>
        <w:spacing w:lineRule="auto" w:line="276" w:before="85" w:after="85"/>
        <w:ind w:hanging="0" w:left="0" w:right="0"/>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8.7. </w:t>
      </w:r>
      <w:r>
        <w:rPr>
          <w:rFonts w:cs="Arial" w:ascii="Verdana" w:hAnsi="Verdana"/>
          <w:b w:val="false"/>
          <w:bCs w:val="false"/>
          <w:i w:val="false"/>
          <w:iCs w:val="false"/>
          <w:color w:val="000000"/>
          <w:sz w:val="20"/>
          <w:szCs w:val="20"/>
        </w:rPr>
        <w:t>Indicar preposto para representá-la durante a execução Da ata de registro de preços.</w:t>
      </w:r>
    </w:p>
    <w:p>
      <w:pPr>
        <w:pStyle w:val="Normal"/>
        <w:tabs>
          <w:tab w:val="clear" w:pos="708"/>
          <w:tab w:val="left" w:pos="0" w:leader="none"/>
        </w:tabs>
        <w:spacing w:lineRule="auto" w:line="276" w:before="85" w:after="85"/>
        <w:ind w:hanging="0" w:left="0" w:right="0"/>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8.8. </w:t>
      </w:r>
      <w:r>
        <w:rPr>
          <w:rFonts w:cs="Arial" w:ascii="Verdana" w:hAnsi="Verdana"/>
          <w:b w:val="false"/>
          <w:bCs w:val="false"/>
          <w:i w:val="false"/>
          <w:iCs w:val="false"/>
          <w:color w:val="000000"/>
          <w:sz w:val="20"/>
          <w:szCs w:val="20"/>
        </w:rPr>
        <w:t xml:space="preserve">A </w:t>
      </w:r>
      <w:r>
        <w:rPr>
          <w:rFonts w:eastAsia="Times New Roman" w:cs="Arial" w:ascii="Verdana" w:hAnsi="Verdana"/>
          <w:b w:val="false"/>
          <w:bCs w:val="false"/>
          <w:i w:val="false"/>
          <w:iCs w:val="false"/>
          <w:color w:val="000000"/>
          <w:sz w:val="20"/>
          <w:szCs w:val="20"/>
        </w:rPr>
        <w:t>contratada</w:t>
      </w:r>
      <w:r>
        <w:rPr>
          <w:rFonts w:cs="Arial" w:ascii="Verdana" w:hAnsi="Verdana"/>
          <w:b w:val="false"/>
          <w:bCs w:val="false"/>
          <w:i w:val="false"/>
          <w:iCs w:val="false"/>
          <w:color w:val="000000"/>
          <w:sz w:val="20"/>
          <w:szCs w:val="20"/>
        </w:rPr>
        <w:t xml:space="preserve"> será responsável pela observância das leis, decretos, regulamentos, portarias e normas federais, estaduais e municipais direta e indiretamente aplicáveis ao objeto do contrato.</w:t>
      </w:r>
    </w:p>
    <w:p>
      <w:pPr>
        <w:pStyle w:val="Normal"/>
        <w:tabs>
          <w:tab w:val="clear" w:pos="708"/>
          <w:tab w:val="left" w:pos="0" w:leader="none"/>
        </w:tabs>
        <w:spacing w:lineRule="auto" w:line="276" w:before="85" w:after="85"/>
        <w:ind w:hanging="0" w:left="0" w:right="0"/>
        <w:jc w:val="both"/>
        <w:rPr>
          <w:rFonts w:ascii="Verdana" w:hAnsi="Verdana"/>
          <w:sz w:val="20"/>
          <w:szCs w:val="20"/>
        </w:rPr>
      </w:pPr>
      <w:r>
        <w:rPr>
          <w:rFonts w:cs="Arial" w:ascii="Verdana" w:hAnsi="Verdana"/>
          <w:b w:val="false"/>
          <w:bCs w:val="false"/>
          <w:i w:val="false"/>
          <w:iCs w:val="false"/>
          <w:color w:val="000000"/>
          <w:sz w:val="20"/>
          <w:szCs w:val="20"/>
        </w:rPr>
        <w:t xml:space="preserve">8.9.Durante a execução da ata de registro de preços, a </w:t>
      </w:r>
      <w:r>
        <w:rPr>
          <w:rFonts w:eastAsia="Times New Roman" w:cs="Arial" w:ascii="Verdana" w:hAnsi="Verdana"/>
          <w:b w:val="false"/>
          <w:bCs w:val="false"/>
          <w:i w:val="false"/>
          <w:iCs w:val="false"/>
          <w:color w:val="000000"/>
          <w:sz w:val="20"/>
          <w:szCs w:val="20"/>
        </w:rPr>
        <w:t>contratada</w:t>
      </w:r>
      <w:r>
        <w:rPr>
          <w:rFonts w:cs="Arial" w:ascii="Verdana" w:hAnsi="Verdana"/>
          <w:b w:val="false"/>
          <w:bCs w:val="false"/>
          <w:i w:val="false"/>
          <w:iCs w:val="false"/>
          <w:color w:val="000000"/>
          <w:sz w:val="20"/>
          <w:szCs w:val="20"/>
        </w:rPr>
        <w:t xml:space="preserve"> deverá:</w:t>
      </w:r>
      <w:r>
        <w:rPr>
          <w:rFonts w:ascii="Verdana" w:hAnsi="Verdana"/>
          <w:sz w:val="20"/>
          <w:szCs w:val="20"/>
        </w:rPr>
        <w:br/>
      </w:r>
      <w:r>
        <w:rPr>
          <w:rFonts w:eastAsia="Times New Roman" w:cs="Arial" w:ascii="Verdana" w:hAnsi="Verdana"/>
          <w:b w:val="false"/>
          <w:bCs w:val="false"/>
          <w:i w:val="false"/>
          <w:iCs w:val="false"/>
          <w:color w:val="000000"/>
          <w:sz w:val="20"/>
          <w:szCs w:val="20"/>
        </w:rPr>
        <w:t>8.9.1.</w:t>
      </w:r>
      <w:r>
        <w:rPr>
          <w:rFonts w:cs="Arial" w:ascii="Verdana" w:hAnsi="Verdana"/>
          <w:b w:val="false"/>
          <w:bCs w:val="false"/>
          <w:i w:val="false"/>
          <w:iCs w:val="false"/>
          <w:color w:val="000000"/>
          <w:sz w:val="20"/>
          <w:szCs w:val="20"/>
        </w:rPr>
        <w:t xml:space="preserve"> Atender prontamente às solicitações </w:t>
      </w:r>
      <w:r>
        <w:rPr>
          <w:rFonts w:eastAsia="Times New Roman" w:cs="Arial" w:ascii="Verdana" w:hAnsi="Verdana"/>
          <w:b w:val="false"/>
          <w:bCs w:val="false"/>
          <w:i w:val="false"/>
          <w:iCs w:val="false"/>
          <w:color w:val="000000"/>
          <w:sz w:val="20"/>
          <w:szCs w:val="20"/>
        </w:rPr>
        <w:t xml:space="preserve">da secretaria </w:t>
      </w:r>
      <w:r>
        <w:rPr>
          <w:rFonts w:cs="Arial" w:ascii="Verdana" w:hAnsi="Verdana"/>
          <w:b w:val="false"/>
          <w:bCs w:val="false"/>
          <w:i w:val="false"/>
          <w:iCs w:val="false"/>
          <w:color w:val="000000"/>
          <w:sz w:val="20"/>
          <w:szCs w:val="20"/>
        </w:rPr>
        <w:t>no fornecimento d</w:t>
      </w:r>
      <w:r>
        <w:rPr>
          <w:rFonts w:eastAsia="Times New Roman" w:cs="Arial" w:ascii="Verdana" w:hAnsi="Verdana"/>
          <w:b w:val="false"/>
          <w:bCs w:val="false"/>
          <w:i w:val="false"/>
          <w:iCs w:val="false"/>
          <w:color w:val="000000"/>
          <w:sz w:val="20"/>
          <w:szCs w:val="20"/>
        </w:rPr>
        <w:t>os equipamentos</w:t>
      </w:r>
      <w:r>
        <w:rPr>
          <w:rFonts w:cs="Arial" w:ascii="Verdana" w:hAnsi="Verdana"/>
          <w:b w:val="false"/>
          <w:bCs w:val="false"/>
          <w:i w:val="false"/>
          <w:iCs w:val="false"/>
          <w:color w:val="000000"/>
          <w:sz w:val="20"/>
          <w:szCs w:val="20"/>
        </w:rPr>
        <w:t xml:space="preserve"> nas quantidades e especificações deste </w:t>
      </w:r>
      <w:r>
        <w:rPr>
          <w:rFonts w:eastAsia="Times New Roman" w:cs="Arial" w:ascii="Verdana" w:hAnsi="Verdana"/>
          <w:b w:val="false"/>
          <w:bCs w:val="false"/>
          <w:i w:val="false"/>
          <w:iCs w:val="false"/>
          <w:color w:val="000000"/>
          <w:sz w:val="20"/>
          <w:szCs w:val="20"/>
        </w:rPr>
        <w:t>termo de referência.</w:t>
      </w:r>
    </w:p>
    <w:p>
      <w:pPr>
        <w:pStyle w:val="Normal"/>
        <w:tabs>
          <w:tab w:val="clear" w:pos="708"/>
          <w:tab w:val="left" w:pos="0" w:leader="none"/>
        </w:tabs>
        <w:spacing w:lineRule="auto" w:line="276" w:before="85" w:after="85"/>
        <w:ind w:hanging="0" w:left="0" w:right="0"/>
        <w:jc w:val="both"/>
        <w:rPr>
          <w:rFonts w:ascii="Verdana" w:hAnsi="Verdana"/>
          <w:sz w:val="20"/>
          <w:szCs w:val="20"/>
        </w:rPr>
      </w:pPr>
      <w:r>
        <w:rPr>
          <w:rFonts w:eastAsia="Times New Roman" w:cs="Arial" w:ascii="Verdana" w:hAnsi="Verdana"/>
          <w:b w:val="false"/>
          <w:bCs w:val="false"/>
          <w:i w:val="false"/>
          <w:iCs w:val="false"/>
          <w:color w:val="000000"/>
          <w:sz w:val="20"/>
          <w:szCs w:val="20"/>
        </w:rPr>
        <w:t>8.9.</w:t>
      </w:r>
      <w:r>
        <w:rPr>
          <w:rFonts w:cs="Arial" w:ascii="Verdana" w:hAnsi="Verdana"/>
          <w:b w:val="false"/>
          <w:bCs w:val="false"/>
          <w:i w:val="false"/>
          <w:iCs w:val="false"/>
          <w:color w:val="000000"/>
          <w:sz w:val="20"/>
          <w:szCs w:val="20"/>
        </w:rPr>
        <w:t xml:space="preserve">2. Entregar os </w:t>
      </w:r>
      <w:r>
        <w:rPr>
          <w:rFonts w:eastAsia="Times New Roman" w:cs="Arial" w:ascii="Verdana" w:hAnsi="Verdana"/>
          <w:b w:val="false"/>
          <w:bCs w:val="false"/>
          <w:i w:val="false"/>
          <w:iCs w:val="false"/>
          <w:color w:val="000000"/>
          <w:sz w:val="20"/>
          <w:szCs w:val="20"/>
        </w:rPr>
        <w:t>equipamentos</w:t>
      </w:r>
      <w:r>
        <w:rPr>
          <w:rFonts w:cs="Arial" w:ascii="Verdana" w:hAnsi="Verdana"/>
          <w:b w:val="false"/>
          <w:bCs w:val="false"/>
          <w:i w:val="false"/>
          <w:iCs w:val="false"/>
          <w:color w:val="000000"/>
          <w:sz w:val="20"/>
          <w:szCs w:val="20"/>
        </w:rPr>
        <w:t xml:space="preserve"> acondicionados adequadamente, em invólucro lacrado, de forma a permitir completa segurança durante o transporte, acompanhado de nota fiscal, discriminado o quantitativo do produto, de acordo com as especificações técnicas.</w:t>
      </w:r>
    </w:p>
    <w:p>
      <w:pPr>
        <w:pStyle w:val="Normal"/>
        <w:tabs>
          <w:tab w:val="clear" w:pos="708"/>
          <w:tab w:val="left" w:pos="0" w:leader="none"/>
        </w:tabs>
        <w:spacing w:lineRule="auto" w:line="276" w:before="85" w:after="85"/>
        <w:ind w:hanging="0" w:left="0" w:right="0"/>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8.9.3. </w:t>
      </w:r>
      <w:r>
        <w:rPr>
          <w:rFonts w:cs="Arial" w:ascii="Verdana" w:hAnsi="Verdana"/>
          <w:b w:val="false"/>
          <w:bCs w:val="false"/>
          <w:i w:val="false"/>
          <w:iCs w:val="false"/>
          <w:color w:val="000000"/>
          <w:sz w:val="20"/>
          <w:szCs w:val="20"/>
        </w:rPr>
        <w:t>A nota fiscal deverá ser acompanhada pelas Certidões de Regularidades Fiscais.</w:t>
      </w:r>
      <w:r>
        <w:rPr>
          <w:rFonts w:ascii="Verdana" w:hAnsi="Verdana"/>
          <w:sz w:val="20"/>
          <w:szCs w:val="20"/>
        </w:rPr>
        <w:br/>
      </w:r>
      <w:r>
        <w:rPr>
          <w:rFonts w:eastAsia="Times New Roman" w:cs="Arial" w:ascii="Verdana" w:hAnsi="Verdana"/>
          <w:b w:val="false"/>
          <w:bCs w:val="false"/>
          <w:i w:val="false"/>
          <w:iCs w:val="false"/>
          <w:color w:val="000000"/>
          <w:sz w:val="20"/>
          <w:szCs w:val="20"/>
        </w:rPr>
        <w:t xml:space="preserve">8.9.4. </w:t>
      </w:r>
      <w:bookmarkStart w:id="6" w:name="_GoBack1111"/>
      <w:r>
        <w:rPr>
          <w:rFonts w:cs="Arial" w:ascii="Verdana" w:hAnsi="Verdana"/>
          <w:b w:val="false"/>
          <w:bCs w:val="false"/>
          <w:i w:val="false"/>
          <w:iCs w:val="false"/>
          <w:color w:val="000000"/>
          <w:sz w:val="20"/>
          <w:szCs w:val="20"/>
        </w:rPr>
        <w:t>Substituir quaisquer objeto que não esteja dentro do padrão de qualidade, em bom estado de conservação, que apresente defeito ou não esteja em conformidade com as especificações da proposta apresentada.</w:t>
      </w:r>
    </w:p>
    <w:p>
      <w:pPr>
        <w:pStyle w:val="Normal"/>
        <w:tabs>
          <w:tab w:val="clear" w:pos="708"/>
          <w:tab w:val="left" w:pos="0" w:leader="none"/>
        </w:tabs>
        <w:spacing w:lineRule="auto" w:line="276" w:before="85" w:after="85"/>
        <w:ind w:hanging="0" w:left="0" w:right="0"/>
        <w:jc w:val="both"/>
        <w:rPr>
          <w:rFonts w:ascii="Verdana" w:hAnsi="Verdana" w:cs="Arial"/>
          <w:b/>
          <w:sz w:val="20"/>
          <w:szCs w:val="20"/>
          <w:u w:val="single"/>
        </w:rPr>
      </w:pPr>
      <w:r>
        <w:rPr>
          <w:rFonts w:cs="Arial" w:ascii="Verdana" w:hAnsi="Verdana"/>
          <w:b/>
          <w:sz w:val="20"/>
          <w:szCs w:val="20"/>
          <w:u w:val="single"/>
        </w:rPr>
      </w:r>
    </w:p>
    <w:p>
      <w:pPr>
        <w:pStyle w:val="Normal"/>
        <w:spacing w:lineRule="auto" w:line="276" w:before="85" w:after="85"/>
        <w:ind w:hanging="0" w:left="0" w:right="0"/>
        <w:jc w:val="both"/>
        <w:rPr>
          <w:rFonts w:ascii="Verdana" w:hAnsi="Verdana"/>
          <w:sz w:val="20"/>
          <w:szCs w:val="20"/>
        </w:rPr>
      </w:pPr>
      <w:r>
        <w:rPr>
          <w:rFonts w:cs="Arial" w:ascii="Verdana" w:hAnsi="Verdana"/>
          <w:b/>
          <w:bCs/>
          <w:i w:val="false"/>
          <w:iCs w:val="false"/>
          <w:color w:val="000000"/>
          <w:sz w:val="20"/>
          <w:szCs w:val="20"/>
        </w:rPr>
        <w:t>9. DO CONTROLE E FISCALIZAÇÃO DA EXECUÇÃO</w:t>
      </w:r>
    </w:p>
    <w:p>
      <w:pPr>
        <w:pStyle w:val="Normal"/>
        <w:spacing w:lineRule="auto" w:line="276" w:before="85" w:after="85"/>
        <w:ind w:hanging="0" w:left="0" w:right="0"/>
        <w:jc w:val="both"/>
        <w:rPr>
          <w:rFonts w:ascii="Verdana" w:hAnsi="Verdana"/>
          <w:sz w:val="20"/>
          <w:szCs w:val="20"/>
        </w:rPr>
      </w:pPr>
      <w:r>
        <w:rPr>
          <w:rFonts w:cs="Arial" w:ascii="Verdana" w:hAnsi="Verdana"/>
          <w:b w:val="false"/>
          <w:bCs w:val="false"/>
          <w:i w:val="false"/>
          <w:iCs w:val="false"/>
          <w:color w:val="000000"/>
          <w:sz w:val="20"/>
          <w:szCs w:val="20"/>
        </w:rPr>
        <w:t>9.1. A fiscalização será realizado pelo Almoxarifado da Secretaria Municipal de Saúde para acompanhar e fiscalizar a entrega dos equipamentos, anotando em registro próprio todas as ocorrências relacionadas com a execução e determinando o que for necessário à regularização de falhas ou defeitos observados.</w:t>
      </w:r>
    </w:p>
    <w:p>
      <w:pPr>
        <w:pStyle w:val="Normal"/>
        <w:spacing w:lineRule="auto" w:line="276" w:before="85" w:after="85"/>
        <w:ind w:hanging="0" w:left="0" w:right="0"/>
        <w:jc w:val="both"/>
        <w:rPr>
          <w:rFonts w:ascii="Verdana" w:hAnsi="Verdana"/>
          <w:sz w:val="20"/>
          <w:szCs w:val="20"/>
        </w:rPr>
      </w:pPr>
      <w:r>
        <w:rPr>
          <w:rFonts w:cs="Arial" w:ascii="Verdana" w:hAnsi="Verdana"/>
          <w:b w:val="false"/>
          <w:bCs w:val="false"/>
          <w:i w:val="false"/>
          <w:iCs w:val="false"/>
          <w:color w:val="000000"/>
          <w:sz w:val="20"/>
          <w:szCs w:val="20"/>
        </w:rPr>
        <w:t>9.2. A fiscalização de que trata este item não exclui nem reduz a responsabilidade da Contratada, inclusive perante terceiros, por qualquer irregularidade, ainda que resultante de imperfeições técnicas ou vícios redibitórios, e na ocorrência desta, não implica responsabilidade da Administração ou de seus agentes e prepostos, de conformidade com a Lei n.º 14.133/2021.</w:t>
      </w:r>
    </w:p>
    <w:p>
      <w:pPr>
        <w:pStyle w:val="Normal"/>
        <w:spacing w:lineRule="auto" w:line="276" w:before="85" w:after="85"/>
        <w:ind w:hanging="0" w:left="0" w:right="0"/>
        <w:jc w:val="both"/>
        <w:rPr>
          <w:rFonts w:ascii="Verdana" w:hAnsi="Verdana" w:cs="Arial"/>
          <w:b/>
          <w:sz w:val="20"/>
          <w:szCs w:val="20"/>
          <w:u w:val="single"/>
        </w:rPr>
      </w:pPr>
      <w:r>
        <w:rPr>
          <w:rFonts w:cs="Arial" w:ascii="Verdana" w:hAnsi="Verdana"/>
          <w:b/>
          <w:sz w:val="20"/>
          <w:szCs w:val="20"/>
          <w:u w:val="single"/>
        </w:rPr>
      </w:r>
    </w:p>
    <w:p>
      <w:pPr>
        <w:pStyle w:val="Normal"/>
        <w:spacing w:lineRule="auto" w:line="276" w:before="85" w:after="85"/>
        <w:ind w:hanging="0" w:left="0" w:right="0"/>
        <w:jc w:val="both"/>
        <w:rPr>
          <w:rFonts w:ascii="Verdana" w:hAnsi="Verdana"/>
          <w:sz w:val="20"/>
          <w:szCs w:val="20"/>
        </w:rPr>
      </w:pPr>
      <w:r>
        <w:rPr>
          <w:rFonts w:ascii="Verdana" w:hAnsi="Verdana"/>
          <w:b/>
          <w:bCs/>
          <w:sz w:val="20"/>
          <w:szCs w:val="20"/>
        </w:rPr>
        <w:t>10. CRITÉRIOS DE PAGAMENTO</w:t>
      </w:r>
    </w:p>
    <w:p>
      <w:pPr>
        <w:pStyle w:val="Normal"/>
        <w:spacing w:lineRule="auto" w:line="276" w:before="85" w:after="85"/>
        <w:ind w:hanging="0" w:left="0" w:right="0"/>
        <w:jc w:val="both"/>
        <w:rPr>
          <w:rFonts w:ascii="Verdana" w:hAnsi="Verdana"/>
          <w:sz w:val="20"/>
          <w:szCs w:val="20"/>
        </w:rPr>
      </w:pPr>
      <w:r>
        <w:rPr>
          <w:rFonts w:ascii="Verdana" w:hAnsi="Verdana"/>
          <w:b w:val="false"/>
          <w:bCs w:val="false"/>
          <w:sz w:val="20"/>
          <w:szCs w:val="20"/>
          <w:lang w:eastAsia="en-US"/>
        </w:rPr>
        <w:t xml:space="preserve">10.1. Recebida a Nota Fiscal ou documento de cobrança equivalente, correrá o prazo de </w:t>
      </w:r>
      <w:r>
        <w:rPr>
          <w:rFonts w:eastAsia="Times New Roman" w:cs="Times New Roman" w:ascii="Verdana" w:hAnsi="Verdana"/>
          <w:b w:val="false"/>
          <w:bCs w:val="false"/>
          <w:sz w:val="20"/>
          <w:szCs w:val="20"/>
          <w:lang w:eastAsia="en-US"/>
        </w:rPr>
        <w:t>(30) trinta</w:t>
      </w:r>
      <w:r>
        <w:rPr>
          <w:rFonts w:ascii="Verdana" w:hAnsi="Verdana"/>
          <w:b w:val="false"/>
          <w:bCs w:val="false"/>
          <w:sz w:val="20"/>
          <w:szCs w:val="20"/>
          <w:lang w:eastAsia="en-US"/>
        </w:rPr>
        <w:t xml:space="preserve"> dias úteis para fins de liquidação, na forma desta seção, prorrogáveis por igual período.</w:t>
      </w:r>
    </w:p>
    <w:p>
      <w:pPr>
        <w:pStyle w:val="Normal"/>
        <w:spacing w:lineRule="auto" w:line="276" w:before="85" w:after="85"/>
        <w:ind w:hanging="0" w:left="0" w:right="0"/>
        <w:jc w:val="both"/>
        <w:rPr/>
      </w:pPr>
      <w:r>
        <w:rPr>
          <w:rFonts w:ascii="Verdana" w:hAnsi="Verdana"/>
          <w:b w:val="false"/>
          <w:bCs w:val="false"/>
          <w:sz w:val="20"/>
          <w:szCs w:val="20"/>
        </w:rPr>
        <w:t xml:space="preserve">10.2. O prazo de que trata o item anterior será reduzido à metade, mantendo-se a possibilidade de prorrogação, no caso de contratações decorrentes de despesas cujos valores não ultrapassem o limite de que trata o </w:t>
      </w:r>
      <w:r>
        <w:fldChar w:fldCharType="begin"/>
      </w:r>
      <w:r>
        <w:rPr>
          <w:rStyle w:val="ListLabel1"/>
          <w:sz w:val="20"/>
          <w:u w:val="none"/>
          <w:b w:val="false"/>
          <w:szCs w:val="20"/>
          <w:bCs w:val="false"/>
          <w:rFonts w:ascii="Verdana" w:hAnsi="Verdana"/>
          <w:color w:val="000000"/>
        </w:rPr>
        <w:instrText xml:space="preserve"> HYPERLINK "http://www.planalto.gov.br/ccivil_03/_ato2019-2022/2021/lei/L14133.htm" \l "art75"</w:instrText>
      </w:r>
      <w:r>
        <w:rPr>
          <w:rStyle w:val="ListLabel1"/>
          <w:sz w:val="20"/>
          <w:u w:val="none"/>
          <w:b w:val="false"/>
          <w:szCs w:val="20"/>
          <w:bCs w:val="false"/>
          <w:rFonts w:ascii="Verdana" w:hAnsi="Verdana"/>
          <w:color w:val="000000"/>
        </w:rPr>
        <w:fldChar w:fldCharType="separate"/>
      </w:r>
      <w:r>
        <w:rPr>
          <w:rStyle w:val="ListLabel1"/>
          <w:rFonts w:ascii="Verdana" w:hAnsi="Verdana"/>
          <w:b w:val="false"/>
          <w:bCs w:val="false"/>
          <w:color w:val="000000"/>
          <w:sz w:val="20"/>
          <w:szCs w:val="20"/>
          <w:u w:val="none"/>
        </w:rPr>
        <w:t>inciso II do art. 75 da Lei nº 14.133, de 2021</w:t>
      </w:r>
      <w:r>
        <w:rPr>
          <w:rStyle w:val="ListLabel1"/>
          <w:sz w:val="20"/>
          <w:u w:val="none"/>
          <w:b w:val="false"/>
          <w:szCs w:val="20"/>
          <w:bCs w:val="false"/>
          <w:rFonts w:ascii="Verdana" w:hAnsi="Verdana"/>
          <w:color w:val="000000"/>
        </w:rPr>
        <w:fldChar w:fldCharType="end"/>
      </w:r>
      <w:r>
        <w:rPr>
          <w:rFonts w:ascii="Verdana" w:hAnsi="Verdana"/>
          <w:b w:val="false"/>
          <w:bCs w:val="false"/>
          <w:color w:val="000000"/>
          <w:sz w:val="20"/>
          <w:szCs w:val="20"/>
          <w:u w:val="none"/>
        </w:rPr>
        <w:t>.</w:t>
      </w:r>
    </w:p>
    <w:p>
      <w:pPr>
        <w:pStyle w:val="Normal"/>
        <w:spacing w:lineRule="auto" w:line="276" w:before="85" w:after="85"/>
        <w:ind w:hanging="0" w:left="0" w:right="0"/>
        <w:jc w:val="both"/>
        <w:rPr>
          <w:rFonts w:ascii="Verdana" w:hAnsi="Verdana"/>
          <w:sz w:val="20"/>
          <w:szCs w:val="20"/>
        </w:rPr>
      </w:pPr>
      <w:r>
        <w:rPr>
          <w:rFonts w:ascii="Verdana" w:hAnsi="Verdana"/>
          <w:b w:val="false"/>
          <w:bCs w:val="false"/>
          <w:sz w:val="20"/>
          <w:szCs w:val="20"/>
        </w:rPr>
        <w:t xml:space="preserve">10.3. Para fins de liquidação, o setor competente deverá verificar se a nota fiscal ou instrumento de cobrança equivalente apresentado expressa os elementos necessários e essenciais do documento, tais como: </w:t>
      </w:r>
    </w:p>
    <w:p>
      <w:pPr>
        <w:pStyle w:val="Normal"/>
        <w:widowControl/>
        <w:numPr>
          <w:ilvl w:val="0"/>
          <w:numId w:val="2"/>
        </w:numPr>
        <w:tabs>
          <w:tab w:val="clear" w:pos="708"/>
          <w:tab w:val="left" w:pos="1140" w:leader="none"/>
        </w:tabs>
        <w:suppressAutoHyphens w:val="true"/>
        <w:bidi w:val="0"/>
        <w:spacing w:lineRule="auto" w:line="276" w:before="85" w:after="85"/>
        <w:ind w:firstLine="454" w:left="0" w:right="0"/>
        <w:jc w:val="both"/>
        <w:rPr>
          <w:rFonts w:ascii="Verdana" w:hAnsi="Verdana"/>
          <w:sz w:val="20"/>
          <w:szCs w:val="20"/>
        </w:rPr>
      </w:pPr>
      <w:r>
        <w:rPr>
          <w:rFonts w:ascii="Verdana" w:hAnsi="Verdana"/>
          <w:b w:val="false"/>
          <w:bCs w:val="false"/>
          <w:sz w:val="20"/>
          <w:szCs w:val="20"/>
        </w:rPr>
        <w:t>O prazo de validade;</w:t>
      </w:r>
    </w:p>
    <w:p>
      <w:pPr>
        <w:pStyle w:val="Normal"/>
        <w:widowControl/>
        <w:numPr>
          <w:ilvl w:val="0"/>
          <w:numId w:val="2"/>
        </w:numPr>
        <w:tabs>
          <w:tab w:val="clear" w:pos="708"/>
          <w:tab w:val="left" w:pos="1140" w:leader="none"/>
        </w:tabs>
        <w:suppressAutoHyphens w:val="true"/>
        <w:bidi w:val="0"/>
        <w:spacing w:lineRule="auto" w:line="276" w:before="85" w:after="85"/>
        <w:ind w:firstLine="454" w:left="0" w:right="0"/>
        <w:jc w:val="both"/>
        <w:rPr>
          <w:rFonts w:ascii="Verdana" w:hAnsi="Verdana"/>
          <w:sz w:val="20"/>
          <w:szCs w:val="20"/>
        </w:rPr>
      </w:pPr>
      <w:r>
        <w:rPr>
          <w:rFonts w:ascii="Verdana" w:hAnsi="Verdana"/>
          <w:b w:val="false"/>
          <w:bCs w:val="false"/>
          <w:sz w:val="20"/>
          <w:szCs w:val="20"/>
        </w:rPr>
        <w:t xml:space="preserve">A data da emissão; </w:t>
      </w:r>
    </w:p>
    <w:p>
      <w:pPr>
        <w:pStyle w:val="Normal"/>
        <w:widowControl/>
        <w:numPr>
          <w:ilvl w:val="0"/>
          <w:numId w:val="2"/>
        </w:numPr>
        <w:tabs>
          <w:tab w:val="clear" w:pos="708"/>
          <w:tab w:val="left" w:pos="1140" w:leader="none"/>
        </w:tabs>
        <w:suppressAutoHyphens w:val="true"/>
        <w:bidi w:val="0"/>
        <w:spacing w:lineRule="auto" w:line="276" w:before="85" w:after="85"/>
        <w:ind w:firstLine="454" w:left="0" w:right="0"/>
        <w:jc w:val="both"/>
        <w:rPr>
          <w:rFonts w:ascii="Verdana" w:hAnsi="Verdana"/>
          <w:sz w:val="20"/>
          <w:szCs w:val="20"/>
        </w:rPr>
      </w:pPr>
      <w:r>
        <w:rPr>
          <w:rFonts w:ascii="Verdana" w:hAnsi="Verdana"/>
          <w:b w:val="false"/>
          <w:bCs w:val="false"/>
          <w:sz w:val="20"/>
          <w:szCs w:val="20"/>
        </w:rPr>
        <w:t xml:space="preserve">Os dados do contrato e do órgão contratante; </w:t>
      </w:r>
    </w:p>
    <w:p>
      <w:pPr>
        <w:pStyle w:val="Normal"/>
        <w:widowControl/>
        <w:numPr>
          <w:ilvl w:val="0"/>
          <w:numId w:val="2"/>
        </w:numPr>
        <w:tabs>
          <w:tab w:val="clear" w:pos="708"/>
          <w:tab w:val="left" w:pos="1140" w:leader="none"/>
        </w:tabs>
        <w:suppressAutoHyphens w:val="true"/>
        <w:bidi w:val="0"/>
        <w:spacing w:lineRule="auto" w:line="276" w:before="85" w:after="85"/>
        <w:ind w:firstLine="454" w:left="0" w:right="0"/>
        <w:jc w:val="both"/>
        <w:rPr>
          <w:rFonts w:ascii="Verdana" w:hAnsi="Verdana"/>
          <w:sz w:val="20"/>
          <w:szCs w:val="20"/>
        </w:rPr>
      </w:pPr>
      <w:r>
        <w:rPr>
          <w:rFonts w:ascii="Verdana" w:hAnsi="Verdana"/>
          <w:b w:val="false"/>
          <w:bCs w:val="false"/>
          <w:sz w:val="20"/>
          <w:szCs w:val="20"/>
        </w:rPr>
        <w:t xml:space="preserve">O período respectivo de execução do contrato; </w:t>
      </w:r>
    </w:p>
    <w:p>
      <w:pPr>
        <w:pStyle w:val="Normal"/>
        <w:widowControl/>
        <w:numPr>
          <w:ilvl w:val="0"/>
          <w:numId w:val="2"/>
        </w:numPr>
        <w:tabs>
          <w:tab w:val="clear" w:pos="708"/>
          <w:tab w:val="left" w:pos="1140" w:leader="none"/>
        </w:tabs>
        <w:suppressAutoHyphens w:val="true"/>
        <w:bidi w:val="0"/>
        <w:spacing w:lineRule="auto" w:line="276" w:before="85" w:after="85"/>
        <w:ind w:firstLine="454" w:left="0" w:right="0"/>
        <w:jc w:val="both"/>
        <w:rPr>
          <w:rFonts w:ascii="Verdana" w:hAnsi="Verdana"/>
          <w:sz w:val="20"/>
          <w:szCs w:val="20"/>
        </w:rPr>
      </w:pPr>
      <w:r>
        <w:rPr>
          <w:rFonts w:ascii="Verdana" w:hAnsi="Verdana"/>
          <w:b w:val="false"/>
          <w:bCs w:val="false"/>
          <w:sz w:val="20"/>
          <w:szCs w:val="20"/>
        </w:rPr>
        <w:t xml:space="preserve">O valor a pagar; e </w:t>
      </w:r>
    </w:p>
    <w:p>
      <w:pPr>
        <w:pStyle w:val="Normal"/>
        <w:widowControl/>
        <w:numPr>
          <w:ilvl w:val="0"/>
          <w:numId w:val="2"/>
        </w:numPr>
        <w:tabs>
          <w:tab w:val="clear" w:pos="708"/>
          <w:tab w:val="left" w:pos="1140" w:leader="none"/>
        </w:tabs>
        <w:suppressAutoHyphens w:val="true"/>
        <w:bidi w:val="0"/>
        <w:spacing w:lineRule="auto" w:line="276" w:before="85" w:after="85"/>
        <w:ind w:firstLine="454" w:left="0" w:right="0"/>
        <w:jc w:val="both"/>
        <w:rPr>
          <w:rFonts w:ascii="Verdana" w:hAnsi="Verdana"/>
          <w:sz w:val="20"/>
          <w:szCs w:val="20"/>
        </w:rPr>
      </w:pPr>
      <w:r>
        <w:rPr>
          <w:rFonts w:ascii="Verdana" w:hAnsi="Verdana"/>
          <w:b w:val="false"/>
          <w:bCs w:val="false"/>
          <w:sz w:val="20"/>
          <w:szCs w:val="20"/>
        </w:rPr>
        <w:t>Eventual destaque do valor de retenções tributárias cabíveis.</w:t>
      </w:r>
    </w:p>
    <w:p>
      <w:pPr>
        <w:pStyle w:val="Normal"/>
        <w:tabs>
          <w:tab w:val="clear" w:pos="708"/>
          <w:tab w:val="left" w:pos="625" w:leader="none"/>
        </w:tabs>
        <w:spacing w:lineRule="auto" w:line="276" w:before="85" w:after="85"/>
        <w:ind w:hanging="0" w:left="0" w:right="0"/>
        <w:jc w:val="both"/>
        <w:rPr>
          <w:rFonts w:ascii="Verdana" w:hAnsi="Verdana"/>
          <w:sz w:val="20"/>
          <w:szCs w:val="20"/>
        </w:rPr>
      </w:pPr>
      <w:r>
        <w:rPr>
          <w:rFonts w:ascii="Verdana" w:hAnsi="Verdana"/>
          <w:b w:val="false"/>
          <w:bCs w:val="false"/>
          <w:sz w:val="20"/>
          <w:szCs w:val="20"/>
        </w:rPr>
        <w:t>10.4. Haven</w:t>
      </w:r>
      <w:r>
        <w:rPr>
          <w:rFonts w:ascii="Verdana" w:hAnsi="Verdana"/>
          <w:sz w:val="20"/>
          <w:szCs w:val="20"/>
        </w:rPr>
        <w:t>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276" w:before="85" w:after="85"/>
        <w:ind w:hanging="0" w:left="0" w:right="0"/>
        <w:jc w:val="both"/>
        <w:rPr/>
      </w:pPr>
      <w:r>
        <w:rPr>
          <w:rFonts w:ascii="Verdana" w:hAnsi="Verdana"/>
          <w:b w:val="false"/>
          <w:bCs w:val="false"/>
          <w:sz w:val="20"/>
          <w:szCs w:val="20"/>
        </w:rPr>
        <w:t>10.5. A</w:t>
      </w:r>
      <w:r>
        <w:rPr>
          <w:rFonts w:ascii="Verdana" w:hAnsi="Verdana"/>
          <w:b w:val="false"/>
          <w:bCs w:val="false"/>
          <w:sz w:val="20"/>
          <w:szCs w:val="20"/>
          <w:lang w:eastAsia="en-US"/>
        </w:rPr>
        <w:t xml:space="preserve"> nota fisc</w:t>
      </w:r>
      <w:r>
        <w:rPr>
          <w:rFonts w:ascii="Verdana" w:hAnsi="Verdana"/>
          <w:sz w:val="20"/>
          <w:szCs w:val="20"/>
          <w:lang w:eastAsia="en-US"/>
        </w:rPr>
        <w:t>al ou instrumento de cobrança equivalente deverá ser obrigatoriamente acompanhado da comprovação da regularidade fiscal</w:t>
      </w:r>
      <w:r>
        <w:rPr>
          <w:rStyle w:val="Hyperlink"/>
          <w:rFonts w:ascii="Verdana" w:hAnsi="Verdana"/>
          <w:sz w:val="20"/>
          <w:szCs w:val="20"/>
          <w:lang w:eastAsia="en-US"/>
        </w:rPr>
        <w:t>.</w:t>
      </w:r>
    </w:p>
    <w:p>
      <w:pPr>
        <w:pStyle w:val="Normal"/>
        <w:spacing w:lineRule="auto" w:line="276" w:before="85" w:after="85"/>
        <w:ind w:hanging="0" w:left="0" w:right="0"/>
        <w:jc w:val="both"/>
        <w:rPr>
          <w:rFonts w:ascii="Verdana" w:hAnsi="Verdana"/>
          <w:sz w:val="20"/>
          <w:szCs w:val="20"/>
        </w:rPr>
      </w:pPr>
      <w:r>
        <w:rPr>
          <w:rFonts w:ascii="Verdana" w:hAnsi="Verdana"/>
          <w:b w:val="false"/>
          <w:bCs w:val="false"/>
          <w:i w:val="false"/>
          <w:iCs w:val="false"/>
          <w:sz w:val="20"/>
          <w:szCs w:val="20"/>
        </w:rPr>
        <w:t>10.6. O pagamento será efetuado no prazo de até 30 (trinta) dias úteis contados da finalização da liquidação da despesa.</w:t>
      </w:r>
    </w:p>
    <w:p>
      <w:pPr>
        <w:pStyle w:val="Normal"/>
        <w:spacing w:lineRule="auto" w:line="276" w:before="85" w:after="85"/>
        <w:ind w:hanging="0" w:left="0" w:right="0"/>
        <w:jc w:val="both"/>
        <w:rPr>
          <w:rFonts w:ascii="Verdana" w:hAnsi="Verdana"/>
          <w:sz w:val="20"/>
          <w:szCs w:val="20"/>
        </w:rPr>
      </w:pPr>
      <w:r>
        <w:rPr>
          <w:rFonts w:ascii="Verdana" w:hAnsi="Verdana"/>
          <w:b w:val="false"/>
          <w:bCs w:val="false"/>
          <w:i w:val="false"/>
          <w:iCs w:val="false"/>
          <w:sz w:val="20"/>
          <w:szCs w:val="20"/>
        </w:rPr>
        <w:t>10.7. O pagamento será realizado por meio de ordem bancária, para crédito em banco, agência e conta correntes indicadas pelo contratado.</w:t>
      </w:r>
    </w:p>
    <w:p>
      <w:pPr>
        <w:pStyle w:val="Normal"/>
        <w:spacing w:lineRule="auto" w:line="276" w:before="85" w:after="85"/>
        <w:ind w:hanging="0" w:left="0" w:right="0"/>
        <w:jc w:val="both"/>
        <w:rPr>
          <w:rFonts w:ascii="Verdana" w:hAnsi="Verdana"/>
          <w:sz w:val="20"/>
          <w:szCs w:val="20"/>
        </w:rPr>
      </w:pPr>
      <w:r>
        <w:rPr>
          <w:rFonts w:ascii="Verdana" w:hAnsi="Verdana"/>
          <w:b w:val="false"/>
          <w:bCs w:val="false"/>
          <w:i w:val="false"/>
          <w:iCs w:val="false"/>
          <w:sz w:val="20"/>
          <w:szCs w:val="20"/>
        </w:rPr>
        <w:t>10.8. Será considerada data do pagamento o dia em que constar como emitida a ordem bancária para pagamento.</w:t>
      </w:r>
    </w:p>
    <w:p>
      <w:pPr>
        <w:pStyle w:val="Normal"/>
        <w:spacing w:lineRule="auto" w:line="276" w:before="85" w:after="85"/>
        <w:ind w:hanging="0" w:left="0" w:right="0"/>
        <w:jc w:val="both"/>
        <w:rPr>
          <w:rFonts w:ascii="Verdana" w:hAnsi="Verdana"/>
          <w:sz w:val="20"/>
          <w:szCs w:val="20"/>
        </w:rPr>
      </w:pPr>
      <w:r>
        <w:rPr>
          <w:rFonts w:ascii="Verdana" w:hAnsi="Verdana"/>
          <w:b w:val="false"/>
          <w:bCs w:val="false"/>
          <w:i w:val="false"/>
          <w:iCs w:val="false"/>
          <w:sz w:val="20"/>
          <w:szCs w:val="20"/>
        </w:rPr>
        <w:t>10.9. Quando do pagamento, será efetuada a retenção tributária prevista na legislação aplicável.</w:t>
      </w:r>
    </w:p>
    <w:p>
      <w:pPr>
        <w:pStyle w:val="Normal"/>
        <w:spacing w:lineRule="auto" w:line="276" w:before="85" w:after="85"/>
        <w:ind w:hanging="0" w:left="0" w:right="0"/>
        <w:jc w:val="both"/>
        <w:rPr/>
      </w:pPr>
      <w:r>
        <w:rPr>
          <w:rFonts w:ascii="Verdana" w:hAnsi="Verdana"/>
          <w:b w:val="false"/>
          <w:bCs w:val="false"/>
          <w:i w:val="false"/>
          <w:iCs w:val="false"/>
          <w:sz w:val="20"/>
          <w:szCs w:val="20"/>
          <w:lang w:eastAsia="en-US"/>
        </w:rPr>
        <w:t xml:space="preserve">10.10. O contratado regularmente optante pelo Simples Nacional, nos termos da </w:t>
      </w:r>
      <w:hyperlink r:id="rId2">
        <w:r>
          <w:rPr>
            <w:rStyle w:val="ListLabel2"/>
            <w:rFonts w:ascii="Verdana" w:hAnsi="Verdana"/>
            <w:b w:val="false"/>
            <w:bCs w:val="false"/>
            <w:i w:val="false"/>
            <w:iCs w:val="false"/>
            <w:sz w:val="20"/>
            <w:szCs w:val="20"/>
            <w:u w:val="none"/>
            <w:lang w:eastAsia="en-US"/>
          </w:rPr>
          <w:t>Lei Complementar nº 123, de 2006</w:t>
        </w:r>
      </w:hyperlink>
      <w:r>
        <w:rPr>
          <w:rFonts w:ascii="Verdana" w:hAnsi="Verdana"/>
          <w:b w:val="false"/>
          <w:bCs w:val="false"/>
          <w:i w:val="false"/>
          <w:iCs w:val="false"/>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276" w:before="85" w:after="85"/>
        <w:ind w:hanging="0" w:left="0" w:right="0"/>
        <w:jc w:val="both"/>
        <w:rPr>
          <w:rFonts w:ascii="Verdana" w:hAnsi="Verdana"/>
          <w:sz w:val="20"/>
          <w:szCs w:val="20"/>
        </w:rPr>
      </w:pPr>
      <w:r>
        <w:rPr>
          <w:rFonts w:ascii="Verdana" w:hAnsi="Verdana"/>
          <w:b w:val="false"/>
          <w:bCs w:val="false"/>
          <w:i w:val="false"/>
          <w:iCs w:val="false"/>
          <w:sz w:val="20"/>
          <w:szCs w:val="20"/>
          <w:lang w:eastAsia="en-US"/>
        </w:rPr>
        <w:t>10.11.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Normal"/>
        <w:spacing w:lineRule="auto" w:line="276" w:before="85" w:after="85"/>
        <w:ind w:hanging="0" w:left="0" w:right="0"/>
        <w:jc w:val="both"/>
        <w:rPr>
          <w:rFonts w:ascii="Verdana" w:hAnsi="Verdana"/>
          <w:sz w:val="20"/>
          <w:szCs w:val="20"/>
        </w:rPr>
      </w:pPr>
      <w:r>
        <w:rPr>
          <w:rFonts w:ascii="Verdana" w:hAnsi="Verdana"/>
          <w:b w:val="false"/>
          <w:bCs w:val="false"/>
          <w:i w:val="false"/>
          <w:iCs w:val="false"/>
          <w:color w:val="000000"/>
          <w:sz w:val="20"/>
          <w:szCs w:val="20"/>
        </w:rPr>
        <w:t xml:space="preserve">10.11. </w:t>
      </w:r>
      <w:r>
        <w:rPr>
          <w:rFonts w:ascii="Verdana" w:hAnsi="Verdana"/>
          <w:sz w:val="20"/>
          <w:szCs w:val="20"/>
        </w:rPr>
        <w:t>Após o prazo acima referenciado, será paga multa financeira nos seguintes termos:</w:t>
      </w:r>
    </w:p>
    <w:p>
      <w:pPr>
        <w:pStyle w:val="PargrafodaLista"/>
        <w:tabs>
          <w:tab w:val="clear" w:pos="708"/>
          <w:tab w:val="left" w:pos="518" w:leader="none"/>
        </w:tabs>
        <w:spacing w:lineRule="auto" w:line="276" w:before="85" w:after="85"/>
        <w:ind w:hanging="0" w:left="0" w:right="0"/>
        <w:contextualSpacing w:val="false"/>
        <w:jc w:val="center"/>
        <w:rPr>
          <w:rFonts w:ascii="Verdana" w:hAnsi="Verdana"/>
          <w:sz w:val="20"/>
          <w:szCs w:val="20"/>
        </w:rPr>
      </w:pPr>
      <w:r>
        <w:rPr>
          <w:rFonts w:cs="Verdana" w:ascii="Verdana" w:hAnsi="Verdana"/>
          <w:sz w:val="20"/>
          <w:szCs w:val="20"/>
        </w:rPr>
        <w:t xml:space="preserve">VM = VF </w:t>
      </w:r>
      <w:r>
        <w:rPr>
          <w:rFonts w:cs="Verdana" w:ascii="Verdana" w:hAnsi="Verdana"/>
          <w:sz w:val="20"/>
          <w:szCs w:val="20"/>
          <w:vertAlign w:val="subscript"/>
        </w:rPr>
        <w:t>*</w:t>
      </w:r>
      <w:r>
        <w:rPr>
          <w:rFonts w:cs="Verdana" w:ascii="Verdana" w:hAnsi="Verdana"/>
          <w:sz w:val="20"/>
          <w:szCs w:val="20"/>
        </w:rPr>
        <w:t xml:space="preserve"> </w:t>
      </w:r>
      <w:r>
        <w:rPr>
          <w:rFonts w:cs="Verdana" w:ascii="Verdana" w:hAnsi="Verdana"/>
          <w:sz w:val="20"/>
          <w:szCs w:val="20"/>
          <w:u w:val="single"/>
        </w:rPr>
        <w:t>0,33</w:t>
      </w:r>
      <w:r>
        <w:rPr>
          <w:rFonts w:cs="Verdana" w:ascii="Verdana" w:hAnsi="Verdana"/>
          <w:sz w:val="20"/>
          <w:szCs w:val="20"/>
        </w:rPr>
        <w:t xml:space="preserve"> </w:t>
      </w:r>
      <w:r>
        <w:rPr>
          <w:rFonts w:cs="Verdana" w:ascii="Verdana" w:hAnsi="Verdana"/>
          <w:sz w:val="20"/>
          <w:szCs w:val="20"/>
          <w:vertAlign w:val="subscript"/>
        </w:rPr>
        <w:t>*</w:t>
      </w:r>
      <w:r>
        <w:rPr>
          <w:rFonts w:cs="Verdana" w:ascii="Verdana" w:hAnsi="Verdana"/>
          <w:sz w:val="20"/>
          <w:szCs w:val="20"/>
        </w:rPr>
        <w:t xml:space="preserve"> ND</w:t>
      </w:r>
    </w:p>
    <w:p>
      <w:pPr>
        <w:pStyle w:val="PargrafodaLista"/>
        <w:tabs>
          <w:tab w:val="clear" w:pos="708"/>
          <w:tab w:val="left" w:pos="518" w:leader="none"/>
        </w:tabs>
        <w:spacing w:lineRule="auto" w:line="276" w:before="85" w:after="85"/>
        <w:ind w:hanging="0" w:left="0" w:right="0"/>
        <w:contextualSpacing w:val="false"/>
        <w:jc w:val="center"/>
        <w:rPr>
          <w:rFonts w:ascii="Verdana" w:hAnsi="Verdana"/>
          <w:sz w:val="20"/>
          <w:szCs w:val="20"/>
        </w:rPr>
      </w:pPr>
      <w:r>
        <w:rPr>
          <w:rFonts w:eastAsia="Verdana" w:cs="Verdana" w:ascii="Verdana" w:hAnsi="Verdana"/>
          <w:sz w:val="20"/>
          <w:szCs w:val="20"/>
        </w:rPr>
        <w:t xml:space="preserve">        </w:t>
      </w:r>
      <w:r>
        <w:rPr>
          <w:rFonts w:cs="Verdana" w:ascii="Verdana" w:hAnsi="Verdana"/>
          <w:sz w:val="20"/>
          <w:szCs w:val="20"/>
        </w:rPr>
        <w:t>100</w:t>
      </w:r>
    </w:p>
    <w:p>
      <w:pPr>
        <w:pStyle w:val="Normal"/>
        <w:suppressAutoHyphens w:val="false"/>
        <w:spacing w:lineRule="auto" w:line="276" w:before="85" w:after="85"/>
        <w:ind w:left="0" w:right="0"/>
        <w:rPr>
          <w:rFonts w:ascii="Verdana" w:hAnsi="Verdana"/>
          <w:sz w:val="20"/>
          <w:szCs w:val="20"/>
        </w:rPr>
      </w:pPr>
      <w:r>
        <w:rPr>
          <w:rFonts w:cs="Arial" w:ascii="Verdana" w:hAnsi="Verdana"/>
          <w:color w:val="000000"/>
          <w:sz w:val="20"/>
          <w:szCs w:val="20"/>
        </w:rPr>
        <w:t xml:space="preserve">Onde: </w:t>
      </w:r>
    </w:p>
    <w:p>
      <w:pPr>
        <w:pStyle w:val="Normal"/>
        <w:suppressAutoHyphens w:val="false"/>
        <w:spacing w:lineRule="auto" w:line="276" w:before="85" w:after="85"/>
        <w:ind w:left="0" w:right="0"/>
        <w:rPr>
          <w:rFonts w:ascii="Verdana" w:hAnsi="Verdana"/>
          <w:sz w:val="20"/>
          <w:szCs w:val="20"/>
        </w:rPr>
      </w:pPr>
      <w:r>
        <w:rPr>
          <w:rFonts w:cs="Arial" w:ascii="Verdana" w:hAnsi="Verdana"/>
          <w:color w:val="000000"/>
          <w:sz w:val="20"/>
          <w:szCs w:val="20"/>
        </w:rPr>
        <w:t xml:space="preserve">VM = Valor da Multa Financeira; </w:t>
      </w:r>
    </w:p>
    <w:p>
      <w:pPr>
        <w:pStyle w:val="Normal"/>
        <w:suppressAutoHyphens w:val="false"/>
        <w:spacing w:lineRule="auto" w:line="276" w:before="85" w:after="85"/>
        <w:ind w:left="0" w:right="0"/>
        <w:rPr>
          <w:rFonts w:ascii="Verdana" w:hAnsi="Verdana"/>
          <w:sz w:val="20"/>
          <w:szCs w:val="20"/>
        </w:rPr>
      </w:pPr>
      <w:r>
        <w:rPr>
          <w:rFonts w:cs="Arial" w:ascii="Verdana" w:hAnsi="Verdana"/>
          <w:color w:val="000000"/>
          <w:sz w:val="20"/>
          <w:szCs w:val="20"/>
        </w:rPr>
        <w:t xml:space="preserve">VF = Valor da Nota Fiscal; </w:t>
      </w:r>
    </w:p>
    <w:p>
      <w:pPr>
        <w:pStyle w:val="PargrafodaLista"/>
        <w:tabs>
          <w:tab w:val="clear" w:pos="708"/>
          <w:tab w:val="left" w:pos="518" w:leader="none"/>
        </w:tabs>
        <w:spacing w:lineRule="auto" w:line="276" w:before="85" w:after="85"/>
        <w:ind w:hanging="0" w:left="0" w:right="0"/>
        <w:contextualSpacing w:val="false"/>
        <w:rPr>
          <w:rFonts w:ascii="Verdana" w:hAnsi="Verdana"/>
          <w:sz w:val="20"/>
          <w:szCs w:val="20"/>
        </w:rPr>
      </w:pPr>
      <w:r>
        <w:rPr>
          <w:rFonts w:eastAsia="Times New Roman" w:cs="Arial" w:ascii="Verdana" w:hAnsi="Verdana"/>
          <w:color w:val="000000"/>
          <w:sz w:val="20"/>
          <w:szCs w:val="20"/>
        </w:rPr>
        <w:t>ND = Número de dias em atraso.</w:t>
      </w:r>
    </w:p>
    <w:p>
      <w:pPr>
        <w:pStyle w:val="Normal"/>
        <w:suppressAutoHyphens w:val="false"/>
        <w:spacing w:lineRule="auto" w:line="276" w:before="85" w:after="85"/>
        <w:ind w:left="0" w:right="0"/>
        <w:jc w:val="both"/>
        <w:rPr>
          <w:rFonts w:ascii="Verdana" w:hAnsi="Verdana"/>
          <w:sz w:val="20"/>
          <w:szCs w:val="20"/>
        </w:rPr>
      </w:pPr>
      <w:r>
        <w:rPr>
          <w:rFonts w:eastAsia="Times New Roman" w:cs="Arial" w:ascii="Verdana" w:hAnsi="Verdana"/>
          <w:b w:val="false"/>
          <w:bCs w:val="false"/>
          <w:color w:val="000000"/>
          <w:sz w:val="20"/>
          <w:szCs w:val="20"/>
        </w:rPr>
        <w:t xml:space="preserve">10.12.. </w:t>
      </w:r>
      <w:r>
        <w:rPr>
          <w:rFonts w:cs="Arial" w:ascii="Verdana" w:hAnsi="Verdana"/>
          <w:b w:val="false"/>
          <w:bCs w:val="false"/>
          <w:color w:val="000000"/>
          <w:sz w:val="20"/>
          <w:szCs w:val="20"/>
        </w:rPr>
        <w:t>A NOTA FISCAL ELETRÔNICA deverá conter o mesmo CNPJ e razão social apresentado quando na proposta, assim como, o número da contratação, o (s) objeto (s), os valores unitários e totais.</w:t>
      </w:r>
    </w:p>
    <w:p>
      <w:pPr>
        <w:pStyle w:val="Normal"/>
        <w:suppressAutoHyphens w:val="false"/>
        <w:spacing w:lineRule="auto" w:line="276" w:before="85" w:after="85"/>
        <w:ind w:left="0" w:right="0"/>
        <w:jc w:val="both"/>
        <w:rPr>
          <w:rFonts w:ascii="Verdana" w:hAnsi="Verdana"/>
          <w:sz w:val="20"/>
          <w:szCs w:val="20"/>
        </w:rPr>
      </w:pPr>
      <w:r>
        <w:rPr>
          <w:rFonts w:eastAsia="Times New Roman" w:cs="Arial" w:ascii="Verdana" w:hAnsi="Verdana"/>
          <w:b w:val="false"/>
          <w:bCs w:val="false"/>
          <w:color w:val="000000"/>
          <w:sz w:val="20"/>
          <w:szCs w:val="20"/>
        </w:rPr>
        <w:t>10.13.</w:t>
      </w:r>
      <w:r>
        <w:rPr>
          <w:rFonts w:cs="Arial" w:ascii="Verdana" w:hAnsi="Verdana"/>
          <w:b w:val="false"/>
          <w:bCs w:val="false"/>
          <w:color w:val="000000"/>
          <w:sz w:val="20"/>
          <w:szCs w:val="20"/>
        </w:rPr>
        <w:t xml:space="preserve"> Qualquer alteração feita no contrato social, ato constitutivo ou estatuto deverá ser co</w:t>
      </w:r>
      <w:r>
        <w:rPr>
          <w:rFonts w:cs="Arial" w:ascii="Verdana" w:hAnsi="Verdana"/>
          <w:color w:val="000000"/>
          <w:sz w:val="20"/>
          <w:szCs w:val="20"/>
        </w:rPr>
        <w:t xml:space="preserve">municado ao CONTRATANTE, mediante documentação própria, para apreciação da autoridade competente. </w:t>
      </w:r>
    </w:p>
    <w:p>
      <w:pPr>
        <w:pStyle w:val="Normal"/>
        <w:suppressAutoHyphens w:val="false"/>
        <w:spacing w:lineRule="auto" w:line="276" w:before="85" w:after="85"/>
        <w:ind w:left="0" w:right="0"/>
        <w:jc w:val="both"/>
        <w:rPr>
          <w:rFonts w:ascii="Verdana" w:hAnsi="Verdana"/>
          <w:sz w:val="20"/>
          <w:szCs w:val="20"/>
        </w:rPr>
      </w:pPr>
      <w:r>
        <w:rPr>
          <w:rFonts w:eastAsia="Times New Roman" w:cs="Arial" w:ascii="Verdana" w:hAnsi="Verdana"/>
          <w:b w:val="false"/>
          <w:bCs w:val="false"/>
          <w:color w:val="000000"/>
          <w:sz w:val="20"/>
          <w:szCs w:val="20"/>
        </w:rPr>
        <w:t xml:space="preserve">10.14. </w:t>
      </w:r>
      <w:r>
        <w:rPr>
          <w:rFonts w:cs="Arial" w:ascii="Verdana" w:hAnsi="Verdana"/>
          <w:b w:val="false"/>
          <w:bCs w:val="false"/>
          <w:color w:val="000000"/>
          <w:sz w:val="20"/>
          <w:szCs w:val="20"/>
        </w:rPr>
        <w:t>O CONTRATANTE poderá deduzir do pagamento importâncias que a qualquer título lhe forem devidos pela empresa CONTRATADA, em decorrência de descumprimento de suas obrigações.</w:t>
      </w:r>
    </w:p>
    <w:p>
      <w:pPr>
        <w:pStyle w:val="Default"/>
        <w:spacing w:lineRule="auto" w:line="276" w:before="85" w:after="85"/>
        <w:ind w:left="0" w:right="0"/>
        <w:jc w:val="both"/>
        <w:rPr>
          <w:rFonts w:ascii="Verdana" w:hAnsi="Verdana"/>
          <w:sz w:val="20"/>
          <w:szCs w:val="20"/>
        </w:rPr>
      </w:pPr>
      <w:r>
        <w:rPr>
          <w:rFonts w:cs="Arial" w:ascii="Verdana" w:hAnsi="Verdana"/>
          <w:b w:val="false"/>
          <w:bCs w:val="false"/>
          <w:sz w:val="20"/>
          <w:szCs w:val="20"/>
        </w:rPr>
        <w:t>10.15.</w:t>
      </w:r>
      <w:r>
        <w:rPr>
          <w:rFonts w:cs="Arial" w:ascii="Verdana" w:hAnsi="Verdana"/>
          <w:sz w:val="20"/>
          <w:szCs w:val="20"/>
        </w:rPr>
        <w:t xml:space="preserve"> Para a efetivação do pagamento, a CONTRATADA deverá manter as </w:t>
      </w:r>
      <w:r>
        <w:rPr>
          <w:rFonts w:cs="Arial" w:ascii="Verdana" w:hAnsi="Verdana"/>
          <w:sz w:val="20"/>
          <w:szCs w:val="20"/>
          <w:lang w:eastAsia="pt-BR"/>
        </w:rPr>
        <w:t>condições relativas à proposta de preço e a habilitação;</w:t>
      </w:r>
    </w:p>
    <w:p>
      <w:pPr>
        <w:pStyle w:val="Default"/>
        <w:spacing w:lineRule="auto" w:line="276" w:before="85" w:after="85"/>
        <w:ind w:left="0" w:right="0"/>
        <w:jc w:val="both"/>
        <w:rPr>
          <w:rFonts w:ascii="Verdana" w:hAnsi="Verdana" w:cs="Arial"/>
          <w:b/>
          <w:sz w:val="20"/>
          <w:szCs w:val="20"/>
          <w:u w:val="single"/>
        </w:rPr>
      </w:pPr>
      <w:r>
        <w:rPr>
          <w:rFonts w:cs="Arial" w:ascii="Verdana" w:hAnsi="Verdana"/>
          <w:b/>
          <w:sz w:val="20"/>
          <w:szCs w:val="20"/>
          <w:u w:val="single"/>
        </w:rPr>
      </w:r>
    </w:p>
    <w:p>
      <w:pPr>
        <w:pStyle w:val="Normal"/>
        <w:spacing w:lineRule="auto" w:line="276" w:before="85" w:after="85"/>
        <w:ind w:hanging="0" w:left="0" w:right="0"/>
        <w:jc w:val="both"/>
        <w:rPr>
          <w:rFonts w:ascii="Verdana" w:hAnsi="Verdana"/>
          <w:sz w:val="20"/>
          <w:szCs w:val="20"/>
        </w:rPr>
      </w:pPr>
      <w:r>
        <w:rPr>
          <w:rFonts w:eastAsia="Times New Roman" w:cs="Times New Roman" w:ascii="Verdana" w:hAnsi="Verdana"/>
          <w:b/>
          <w:bCs/>
          <w:iCs/>
          <w:color w:val="000000"/>
          <w:sz w:val="20"/>
          <w:szCs w:val="20"/>
        </w:rPr>
        <w:t>11</w:t>
      </w:r>
      <w:r>
        <w:rPr>
          <w:rFonts w:ascii="Verdana" w:hAnsi="Verdana"/>
          <w:b/>
          <w:bCs/>
          <w:iCs/>
          <w:sz w:val="20"/>
          <w:szCs w:val="20"/>
        </w:rPr>
        <w:t>. DAS SANÇÕES</w:t>
      </w:r>
    </w:p>
    <w:p>
      <w:pPr>
        <w:pStyle w:val="Normal"/>
        <w:spacing w:lineRule="auto" w:line="276" w:before="85" w:after="85"/>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 Comete infração administrativa o fornecedor/prestador de serviço que cometer quaisquer das infrações previstas no art. 155 da Lei nº 14.133, de 2021, quais sejam:</w:t>
      </w:r>
    </w:p>
    <w:p>
      <w:pPr>
        <w:pStyle w:val="Normal"/>
        <w:spacing w:lineRule="auto" w:line="276" w:before="85" w:after="85"/>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.1.1. Dar causa à inexecução parcial do contrato.</w:t>
      </w:r>
    </w:p>
    <w:p>
      <w:pPr>
        <w:pStyle w:val="Normal"/>
        <w:spacing w:lineRule="auto" w:line="276" w:before="85" w:after="85"/>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.1.2. Dar causa à inexecução parcial que cause grave dano à Administração, ao funcionamento dos serviços públicos ou ao interesse coletivo.</w:t>
      </w:r>
    </w:p>
    <w:p>
      <w:pPr>
        <w:pStyle w:val="Normal"/>
        <w:spacing w:lineRule="auto" w:line="276" w:before="85" w:after="85"/>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.1.3. Dar causa à inexecução</w:t>
      </w:r>
      <w:r>
        <w:rPr>
          <w:rFonts w:ascii="Verdana" w:hAnsi="Verdana"/>
          <w:b w:val="false"/>
          <w:bCs w:val="false"/>
          <w:iCs/>
          <w:sz w:val="20"/>
          <w:szCs w:val="20"/>
          <w:u w:val="none"/>
        </w:rPr>
        <w:t xml:space="preserve"> </w:t>
      </w:r>
      <w:r>
        <w:rPr>
          <w:rFonts w:cs="Arial" w:ascii="Verdana" w:hAnsi="Verdana"/>
          <w:b w:val="false"/>
          <w:bCs w:val="false"/>
          <w:iCs/>
          <w:sz w:val="20"/>
          <w:szCs w:val="20"/>
          <w:u w:val="none"/>
        </w:rPr>
        <w:t>total.</w:t>
      </w:r>
    </w:p>
    <w:p>
      <w:pPr>
        <w:pStyle w:val="Normal"/>
        <w:spacing w:lineRule="auto" w:line="276" w:before="85" w:after="85"/>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.1.4. Deixar de entregar a documentação exigida para o certame.</w:t>
      </w:r>
    </w:p>
    <w:p>
      <w:pPr>
        <w:pStyle w:val="Normal"/>
        <w:spacing w:lineRule="auto" w:line="276" w:before="85" w:after="85"/>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.1.5. Não manter a proposta, salvo em decorrência de fato superveniente devidamente justificado.</w:t>
      </w:r>
    </w:p>
    <w:p>
      <w:pPr>
        <w:pStyle w:val="Normal"/>
        <w:spacing w:lineRule="auto" w:line="276" w:before="85" w:after="85"/>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 xml:space="preserve">.1.6. Não celebrar o contrato ou não entregar a documentação exigida para a contratação, quando convocado dentro do prazo de validade de sua proposta. </w:t>
      </w:r>
    </w:p>
    <w:p>
      <w:pPr>
        <w:pStyle w:val="Normal"/>
        <w:spacing w:lineRule="auto" w:line="276" w:before="85" w:after="85"/>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.1.7. Ensejar o retardamento da execução ou da entrega do objeto sem motivo justificado,</w:t>
      </w:r>
    </w:p>
    <w:p>
      <w:pPr>
        <w:pStyle w:val="Normal"/>
        <w:spacing w:lineRule="auto" w:line="276" w:before="85" w:after="85"/>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.1.8. Apresentar declaração ou documentação falsa exigida para o certame ou prestar declaração falsa durante a dispensa eletrônica ou a execução do objeto.</w:t>
      </w:r>
    </w:p>
    <w:p>
      <w:pPr>
        <w:pStyle w:val="Normal"/>
        <w:spacing w:lineRule="auto" w:line="276" w:before="85" w:after="85"/>
        <w:ind w:hanging="0" w:left="0" w:right="0"/>
        <w:jc w:val="both"/>
        <w:rPr>
          <w:rFonts w:ascii="Verdana" w:hAnsi="Verdana"/>
          <w:sz w:val="20"/>
          <w:szCs w:val="20"/>
        </w:rPr>
      </w:pPr>
      <w:r>
        <w:rPr>
          <w:rFonts w:ascii="Verdana" w:hAnsi="Verdana"/>
          <w:b w:val="false"/>
          <w:bCs w:val="false"/>
          <w:iCs/>
          <w:sz w:val="20"/>
          <w:szCs w:val="20"/>
        </w:rPr>
        <w:t>11.1.9. Fraudar a dispensa eletrônica ou praticar ato fraudulento na execução do objeto.</w:t>
      </w:r>
    </w:p>
    <w:p>
      <w:pPr>
        <w:pStyle w:val="Normal"/>
        <w:spacing w:lineRule="auto" w:line="276" w:before="85" w:after="85"/>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.1.10. Comportar-se de modo inidôneo ou cometer fraude de qualquer natureza.</w:t>
      </w:r>
    </w:p>
    <w:p>
      <w:pPr>
        <w:pStyle w:val="Normal"/>
        <w:spacing w:lineRule="auto" w:line="276" w:before="85" w:after="85"/>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.1.10.1. 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spacing w:lineRule="auto" w:line="276" w:before="85" w:after="85"/>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.1.11. Praticar atos ilícitos com vistas a frustrar os objetivos deste certame.</w:t>
      </w:r>
    </w:p>
    <w:p>
      <w:pPr>
        <w:pStyle w:val="Normal"/>
        <w:spacing w:lineRule="auto" w:line="276" w:before="85" w:after="85"/>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.1.12. Praticar ato lesivo previsto no art. 5º da Lei nº 12.846, de 1º de agosto de 2013.</w:t>
      </w:r>
    </w:p>
    <w:p>
      <w:pPr>
        <w:pStyle w:val="Normal"/>
        <w:spacing w:lineRule="auto" w:line="276" w:before="85" w:after="85"/>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11.1.13.</w:t>
      </w:r>
      <w:r>
        <w:rPr>
          <w:rFonts w:ascii="Verdana" w:hAnsi="Verdana"/>
          <w:b w:val="false"/>
          <w:bCs w:val="false"/>
          <w:iCs/>
          <w:sz w:val="20"/>
          <w:szCs w:val="20"/>
        </w:rPr>
        <w:t xml:space="preserve"> O fornecedor que cometer qualquer das infrações discriminadas nos subitens anteriores fica</w:t>
      </w:r>
      <w:r>
        <w:rPr>
          <w:rFonts w:ascii="Verdana" w:hAnsi="Verdana"/>
          <w:iCs/>
          <w:sz w:val="20"/>
          <w:szCs w:val="20"/>
        </w:rPr>
        <w:t>rá sujeito, sem prejuízo da responsabilidade civil e criminal, às seguintes sanções:</w:t>
      </w:r>
    </w:p>
    <w:p>
      <w:pPr>
        <w:pStyle w:val="Normal"/>
        <w:spacing w:lineRule="auto" w:line="276" w:before="85" w:after="85"/>
        <w:ind w:hanging="0" w:left="0" w:right="0"/>
        <w:jc w:val="both"/>
        <w:rPr>
          <w:rFonts w:ascii="Verdana" w:hAnsi="Verdana"/>
          <w:sz w:val="20"/>
          <w:szCs w:val="20"/>
        </w:rPr>
      </w:pPr>
      <w:r>
        <w:rPr>
          <w:rFonts w:ascii="Verdana" w:hAnsi="Verdana"/>
          <w:iCs/>
          <w:sz w:val="20"/>
          <w:szCs w:val="20"/>
        </w:rPr>
        <w:tab/>
        <w:t>a) Advertência pela falta do subitem 11.1.1 deste Termo de Referência, quando não se justificar a imposição de penalidade mais grave.</w:t>
      </w:r>
    </w:p>
    <w:p>
      <w:pPr>
        <w:pStyle w:val="Normal"/>
        <w:spacing w:lineRule="auto" w:line="276" w:before="85" w:after="85"/>
        <w:ind w:hanging="0" w:left="0" w:right="0"/>
        <w:jc w:val="both"/>
        <w:rPr>
          <w:rFonts w:ascii="Verdana" w:hAnsi="Verdana"/>
          <w:sz w:val="20"/>
          <w:szCs w:val="20"/>
        </w:rPr>
      </w:pPr>
      <w:r>
        <w:rPr>
          <w:rFonts w:ascii="Verdana" w:hAnsi="Verdana"/>
          <w:iCs/>
          <w:sz w:val="20"/>
          <w:szCs w:val="20"/>
        </w:rPr>
        <w:tab/>
        <w:t xml:space="preserve">b) Multa, calculada na forma do edital, com base no total do valor da contratação realizada de forma direta e será aplicada ao responsável por qualquer das infrações administrativas previstas no item 11.1 deste Termo de Referência, no percentual de 10% (dez por cento), na hipótese de cometimento das infrações previstas nos itens 11.1.1 a </w:t>
      </w:r>
      <w:r>
        <w:rPr>
          <w:rFonts w:eastAsia="Times New Roman" w:cs="Times New Roman" w:ascii="Verdana" w:hAnsi="Verdana"/>
          <w:iCs/>
          <w:color w:val="000000"/>
          <w:sz w:val="20"/>
          <w:szCs w:val="20"/>
        </w:rPr>
        <w:t>11</w:t>
      </w:r>
      <w:r>
        <w:rPr>
          <w:rFonts w:ascii="Verdana" w:hAnsi="Verdana"/>
          <w:iCs/>
          <w:sz w:val="20"/>
          <w:szCs w:val="20"/>
        </w:rPr>
        <w:t xml:space="preserve">.1.7 e 20% (vinte por cento), se cometidas infrações previstas nos itens 11.1.8 a 11.1.12; </w:t>
      </w:r>
    </w:p>
    <w:p>
      <w:pPr>
        <w:pStyle w:val="Normal"/>
        <w:spacing w:lineRule="auto" w:line="276" w:before="85" w:after="85"/>
        <w:ind w:hanging="0" w:left="0" w:right="0"/>
        <w:jc w:val="both"/>
        <w:rPr>
          <w:rFonts w:ascii="Verdana" w:hAnsi="Verdana"/>
          <w:sz w:val="20"/>
          <w:szCs w:val="20"/>
        </w:rPr>
      </w:pPr>
      <w:r>
        <w:rPr>
          <w:rFonts w:ascii="Verdana" w:hAnsi="Verdana"/>
          <w:iCs/>
          <w:sz w:val="20"/>
          <w:szCs w:val="20"/>
        </w:rPr>
        <w:tab/>
        <w:tab/>
      </w:r>
      <w:r>
        <w:rPr>
          <w:rFonts w:ascii="Verdana" w:hAnsi="Verdana"/>
          <w:b/>
          <w:bCs/>
          <w:iCs/>
          <w:sz w:val="20"/>
          <w:szCs w:val="20"/>
        </w:rPr>
        <w:t>b.1.</w:t>
      </w:r>
      <w:r>
        <w:rPr>
          <w:rFonts w:ascii="Verdana" w:hAnsi="Verdana"/>
          <w:iCs/>
          <w:sz w:val="20"/>
          <w:szCs w:val="20"/>
        </w:rPr>
        <w:t xml:space="preserve"> O valor da multa poderá ser descontado das faturas devidas à CONTRATADA;</w:t>
      </w:r>
    </w:p>
    <w:p>
      <w:pPr>
        <w:pStyle w:val="Normal"/>
        <w:spacing w:lineRule="auto" w:line="276" w:before="85" w:after="85"/>
        <w:ind w:hanging="0" w:left="0" w:right="0"/>
        <w:jc w:val="both"/>
        <w:rPr>
          <w:rFonts w:ascii="Verdana" w:hAnsi="Verdana"/>
          <w:sz w:val="20"/>
          <w:szCs w:val="20"/>
        </w:rPr>
      </w:pPr>
      <w:r>
        <w:rPr>
          <w:rFonts w:ascii="Verdana" w:hAnsi="Verdana"/>
          <w:iCs/>
          <w:sz w:val="20"/>
          <w:szCs w:val="20"/>
        </w:rPr>
        <w:tab/>
        <w:tab/>
      </w:r>
      <w:r>
        <w:rPr>
          <w:rFonts w:ascii="Verdana" w:hAnsi="Verdana"/>
          <w:b/>
          <w:bCs/>
          <w:iCs/>
          <w:sz w:val="20"/>
          <w:szCs w:val="20"/>
        </w:rPr>
        <w:t>b.2.</w:t>
      </w:r>
      <w:r>
        <w:rPr>
          <w:rFonts w:ascii="Verdana" w:hAnsi="Verdana"/>
          <w:iCs/>
          <w:sz w:val="20"/>
          <w:szCs w:val="20"/>
        </w:rPr>
        <w:t xml:space="preserve"> A multa pode ser aplicada isoladamente ou juntamente com as penalidades definidas nos itens “c” e “d” abaixo: </w:t>
      </w:r>
    </w:p>
    <w:p>
      <w:pPr>
        <w:pStyle w:val="Normal"/>
        <w:spacing w:lineRule="auto" w:line="276" w:before="85" w:after="85"/>
        <w:ind w:hanging="0" w:left="0" w:right="0"/>
        <w:jc w:val="both"/>
        <w:rPr>
          <w:rFonts w:ascii="Verdana" w:hAnsi="Verdana"/>
          <w:sz w:val="20"/>
          <w:szCs w:val="20"/>
        </w:rPr>
      </w:pPr>
      <w:r>
        <w:rPr>
          <w:rFonts w:ascii="Verdana" w:hAnsi="Verdana"/>
          <w:iCs/>
          <w:sz w:val="20"/>
          <w:szCs w:val="20"/>
        </w:rPr>
        <w:tab/>
        <w:t>c) Impedimento de licitar e contratar no âmbito da Administração Pública direta e indireta do ente federativo que tiver aplicado a sanção, pelo prazo máximo de 03 (três) anos, nos casos dos subitens 11.1.2 a 11.1.7 deste Termo de Referência, quando não se justificar a imposição de penalidade mais grave.</w:t>
      </w:r>
    </w:p>
    <w:p>
      <w:pPr>
        <w:pStyle w:val="Normal"/>
        <w:spacing w:lineRule="auto" w:line="276" w:before="85" w:after="85"/>
        <w:ind w:hanging="0" w:left="0" w:right="0"/>
        <w:jc w:val="both"/>
        <w:rPr>
          <w:rFonts w:ascii="Verdana" w:hAnsi="Verdana"/>
          <w:sz w:val="20"/>
          <w:szCs w:val="20"/>
        </w:rPr>
      </w:pPr>
      <w:r>
        <w:rPr>
          <w:rFonts w:ascii="Verdana" w:hAnsi="Verdana"/>
          <w:iCs/>
          <w:sz w:val="20"/>
          <w:szCs w:val="20"/>
        </w:rPr>
        <w:tab/>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pPr>
        <w:pStyle w:val="Normal"/>
        <w:spacing w:lineRule="auto" w:line="276" w:before="85" w:after="85"/>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.3. Na aplicação das sanções serão considerados:</w:t>
      </w:r>
    </w:p>
    <w:p>
      <w:pPr>
        <w:pStyle w:val="Normal"/>
        <w:spacing w:lineRule="auto" w:line="276" w:before="85" w:after="85"/>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.3.1. A natureza e a gravidade da infração cometida.</w:t>
      </w:r>
    </w:p>
    <w:p>
      <w:pPr>
        <w:pStyle w:val="Normal"/>
        <w:spacing w:lineRule="auto" w:line="276" w:before="85" w:after="85"/>
        <w:ind w:hanging="0" w:left="0" w:right="0"/>
        <w:jc w:val="both"/>
        <w:rPr>
          <w:rFonts w:ascii="Verdana" w:hAnsi="Verdana"/>
          <w:sz w:val="20"/>
          <w:szCs w:val="20"/>
        </w:rPr>
      </w:pPr>
      <w:r>
        <w:rPr>
          <w:rFonts w:ascii="Verdana" w:hAnsi="Verdana"/>
          <w:b w:val="false"/>
          <w:bCs w:val="false"/>
          <w:iCs/>
          <w:sz w:val="20"/>
          <w:szCs w:val="20"/>
        </w:rPr>
        <w:t>11.3.2. As peculiaridades do caso concreto.</w:t>
      </w:r>
    </w:p>
    <w:p>
      <w:pPr>
        <w:pStyle w:val="Normal"/>
        <w:spacing w:lineRule="auto" w:line="276" w:before="85" w:after="85"/>
        <w:ind w:hanging="0" w:left="0" w:right="0"/>
        <w:jc w:val="both"/>
        <w:rPr>
          <w:rFonts w:ascii="Verdana" w:hAnsi="Verdana"/>
          <w:sz w:val="20"/>
          <w:szCs w:val="20"/>
        </w:rPr>
      </w:pPr>
      <w:r>
        <w:rPr>
          <w:rFonts w:ascii="Verdana" w:hAnsi="Verdana"/>
          <w:b w:val="false"/>
          <w:bCs w:val="false"/>
          <w:iCs/>
          <w:sz w:val="20"/>
          <w:szCs w:val="20"/>
        </w:rPr>
        <w:t>11.3.3. As circunstâncias agravantes ou atenuantes.</w:t>
      </w:r>
    </w:p>
    <w:p>
      <w:pPr>
        <w:pStyle w:val="Normal"/>
        <w:spacing w:lineRule="auto" w:line="276" w:before="85" w:after="85"/>
        <w:ind w:hanging="0" w:left="0" w:right="0"/>
        <w:jc w:val="both"/>
        <w:rPr>
          <w:rFonts w:ascii="Verdana" w:hAnsi="Verdana"/>
          <w:sz w:val="20"/>
          <w:szCs w:val="20"/>
        </w:rPr>
      </w:pPr>
      <w:r>
        <w:rPr>
          <w:rFonts w:ascii="Verdana" w:hAnsi="Verdana"/>
          <w:b w:val="false"/>
          <w:bCs w:val="false"/>
          <w:iCs/>
          <w:sz w:val="20"/>
          <w:szCs w:val="20"/>
        </w:rPr>
        <w:t>11.3.4. Os danos que dela provierem para a Administração Pública.</w:t>
      </w:r>
    </w:p>
    <w:p>
      <w:pPr>
        <w:pStyle w:val="Normal"/>
        <w:spacing w:lineRule="auto" w:line="276" w:before="85" w:after="85"/>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.3.5. A implantação ou o aperfeiçoamento de programa de integridade, conforme normas e orientações dos órgãos de controle.</w:t>
      </w:r>
    </w:p>
    <w:p>
      <w:pPr>
        <w:pStyle w:val="Normal"/>
        <w:spacing w:lineRule="auto" w:line="276" w:before="85" w:after="85"/>
        <w:ind w:hanging="0" w:left="0" w:right="0"/>
        <w:jc w:val="both"/>
        <w:rPr>
          <w:rFonts w:ascii="Verdana" w:hAnsi="Verdana"/>
          <w:sz w:val="20"/>
          <w:szCs w:val="20"/>
        </w:rPr>
      </w:pPr>
      <w:r>
        <w:rPr>
          <w:rFonts w:ascii="Verdana" w:hAnsi="Verdana"/>
          <w:b w:val="false"/>
          <w:bCs w:val="false"/>
          <w:iCs/>
          <w:sz w:val="20"/>
          <w:szCs w:val="20"/>
        </w:rPr>
        <w:t>11.4. Se a multa aplicada e as indenizações cabíveis forem superiores ao valor de pagamento eventualmente devido pela Administração à CONTRATADA, além da perda desse valor, a diferença será descontada da garantia prestada ou será cobrada judicialmente.</w:t>
      </w:r>
    </w:p>
    <w:p>
      <w:pPr>
        <w:pStyle w:val="Normal"/>
        <w:spacing w:lineRule="auto" w:line="276" w:before="85" w:after="85"/>
        <w:ind w:hanging="0" w:left="0" w:right="0"/>
        <w:jc w:val="both"/>
        <w:rPr>
          <w:rFonts w:ascii="Verdana" w:hAnsi="Verdana"/>
          <w:sz w:val="20"/>
          <w:szCs w:val="20"/>
        </w:rPr>
      </w:pPr>
      <w:r>
        <w:rPr>
          <w:rFonts w:ascii="Verdana" w:hAnsi="Verdana"/>
          <w:b w:val="false"/>
          <w:bCs w:val="false"/>
          <w:iCs/>
          <w:sz w:val="20"/>
          <w:szCs w:val="20"/>
          <w:lang w:eastAsia="en-US"/>
        </w:rPr>
        <w:t xml:space="preserve">11.5. </w:t>
      </w:r>
      <w:r>
        <w:rPr>
          <w:rFonts w:ascii="Verdana" w:hAnsi="Verdana"/>
          <w:iCs/>
          <w:sz w:val="20"/>
          <w:szCs w:val="20"/>
          <w:lang w:eastAsia="en-US"/>
        </w:rPr>
        <w:t>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pPr>
        <w:pStyle w:val="Normal"/>
        <w:spacing w:lineRule="auto" w:line="276" w:before="85" w:after="85"/>
        <w:ind w:hanging="0" w:left="0" w:right="0"/>
        <w:jc w:val="both"/>
        <w:rPr>
          <w:rFonts w:ascii="Verdana" w:hAnsi="Verdana" w:cs="Arial"/>
          <w:b/>
          <w:sz w:val="20"/>
          <w:szCs w:val="20"/>
          <w:u w:val="single"/>
        </w:rPr>
      </w:pPr>
      <w:r>
        <w:rPr>
          <w:rFonts w:cs="Arial" w:ascii="Verdana" w:hAnsi="Verdana"/>
          <w:b/>
          <w:sz w:val="20"/>
          <w:szCs w:val="20"/>
          <w:u w:val="single"/>
        </w:rPr>
      </w:r>
    </w:p>
    <w:p>
      <w:pPr>
        <w:pStyle w:val="Normal"/>
        <w:spacing w:lineRule="auto" w:line="276" w:before="85" w:after="85"/>
        <w:ind w:hanging="0" w:left="0" w:right="0"/>
        <w:jc w:val="both"/>
        <w:rPr>
          <w:rFonts w:ascii="Verdana" w:hAnsi="Verdana"/>
          <w:sz w:val="20"/>
          <w:szCs w:val="20"/>
        </w:rPr>
      </w:pPr>
      <w:r>
        <w:rPr>
          <w:rFonts w:ascii="Verdana" w:hAnsi="Verdana"/>
          <w:b/>
          <w:bCs/>
          <w:sz w:val="20"/>
          <w:szCs w:val="20"/>
          <w:lang w:eastAsia="en-US"/>
        </w:rPr>
        <w:t>12. DA HABILITAÇÃO</w:t>
      </w:r>
    </w:p>
    <w:p>
      <w:pPr>
        <w:pStyle w:val="Nivel011"/>
        <w:tabs>
          <w:tab w:val="left" w:pos="517" w:leader="none"/>
          <w:tab w:val="left" w:pos="567" w:leader="none"/>
          <w:tab w:val="left" w:pos="683" w:leader="none"/>
        </w:tabs>
        <w:spacing w:lineRule="auto" w:line="276" w:before="85" w:after="85"/>
        <w:ind w:hanging="0" w:left="0" w:right="0"/>
        <w:rPr>
          <w:rFonts w:ascii="Verdana" w:hAnsi="Verdana"/>
          <w:sz w:val="20"/>
          <w:szCs w:val="20"/>
        </w:rPr>
      </w:pPr>
      <w:r>
        <w:rPr>
          <w:rFonts w:cs="Verdana" w:ascii="Verdana" w:hAnsi="Verdana"/>
          <w:b w:val="false"/>
          <w:bCs w:val="false"/>
          <w:sz w:val="20"/>
          <w:szCs w:val="20"/>
          <w:lang w:eastAsia="ar-SA"/>
        </w:rPr>
        <w:t>12.1.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pPr>
        <w:pStyle w:val="ListParagraph"/>
        <w:widowControl/>
        <w:suppressAutoHyphens w:val="true"/>
        <w:bidi w:val="0"/>
        <w:spacing w:lineRule="auto" w:line="276" w:before="85" w:after="85"/>
        <w:ind w:firstLine="567" w:left="0" w:right="0"/>
        <w:contextualSpacing w:val="false"/>
        <w:jc w:val="both"/>
        <w:rPr>
          <w:rFonts w:ascii="Verdana" w:hAnsi="Verdana"/>
          <w:sz w:val="20"/>
          <w:szCs w:val="20"/>
        </w:rPr>
      </w:pPr>
      <w:r>
        <w:rPr>
          <w:rFonts w:cs="Verdana" w:ascii="Verdana" w:hAnsi="Verdana"/>
          <w:b/>
          <w:bCs/>
          <w:sz w:val="20"/>
          <w:szCs w:val="20"/>
          <w:lang w:eastAsia="ar-SA"/>
        </w:rPr>
        <w:t>a)</w:t>
      </w:r>
      <w:r>
        <w:rPr>
          <w:rFonts w:cs="Verdana" w:ascii="Verdana" w:hAnsi="Verdana"/>
          <w:b w:val="false"/>
          <w:bCs w:val="false"/>
          <w:sz w:val="20"/>
          <w:szCs w:val="20"/>
          <w:lang w:eastAsia="ar-SA"/>
        </w:rPr>
        <w:t xml:space="preserve"> SICAF;</w:t>
      </w:r>
    </w:p>
    <w:p>
      <w:pPr>
        <w:pStyle w:val="ListParagraph"/>
        <w:widowControl/>
        <w:suppressAutoHyphens w:val="true"/>
        <w:bidi w:val="0"/>
        <w:spacing w:lineRule="auto" w:line="276" w:before="85" w:after="85"/>
        <w:ind w:firstLine="567" w:left="0" w:right="0"/>
        <w:contextualSpacing w:val="false"/>
        <w:jc w:val="both"/>
        <w:rPr/>
      </w:pPr>
      <w:r>
        <w:rPr>
          <w:rFonts w:cs="Verdana" w:ascii="Verdana" w:hAnsi="Verdana"/>
          <w:b/>
          <w:bCs/>
          <w:sz w:val="20"/>
          <w:szCs w:val="20"/>
          <w:lang w:eastAsia="ar-SA"/>
        </w:rPr>
        <w:t>b)</w:t>
      </w:r>
      <w:r>
        <w:rPr>
          <w:rFonts w:cs="Verdana" w:ascii="Verdana" w:hAnsi="Verdana"/>
          <w:b w:val="false"/>
          <w:bCs w:val="false"/>
          <w:sz w:val="20"/>
          <w:szCs w:val="20"/>
          <w:lang w:eastAsia="ar-SA"/>
        </w:rPr>
        <w:t xml:space="preserve"> Cadastro Nacional de Empresas Inidôneas e Suspensas – CEIS, mantido pela Controladoria-Geral da União (</w:t>
      </w:r>
      <w:hyperlink r:id="rId3">
        <w:r>
          <w:rPr>
            <w:rStyle w:val="ListLabel3"/>
            <w:rFonts w:cs="Verdana" w:ascii="Verdana" w:hAnsi="Verdana"/>
            <w:b w:val="false"/>
            <w:bCs w:val="false"/>
            <w:color w:val="000080"/>
            <w:sz w:val="20"/>
            <w:szCs w:val="20"/>
            <w:u w:val="single"/>
            <w:lang w:eastAsia="ar-SA"/>
          </w:rPr>
          <w:t>www.portaldatransparencia.gov.br/ceis</w:t>
        </w:r>
      </w:hyperlink>
      <w:r>
        <w:rPr>
          <w:rFonts w:cs="Verdana" w:ascii="Verdana" w:hAnsi="Verdana"/>
          <w:b w:val="false"/>
          <w:bCs w:val="false"/>
          <w:sz w:val="20"/>
          <w:szCs w:val="20"/>
          <w:lang w:eastAsia="ar-SA"/>
        </w:rPr>
        <w:t>);</w:t>
      </w:r>
    </w:p>
    <w:p>
      <w:pPr>
        <w:pStyle w:val="ListParagraph"/>
        <w:widowControl/>
        <w:suppressAutoHyphens w:val="true"/>
        <w:bidi w:val="0"/>
        <w:spacing w:lineRule="auto" w:line="276" w:before="85" w:after="85"/>
        <w:ind w:firstLine="567" w:left="0" w:right="0"/>
        <w:contextualSpacing w:val="false"/>
        <w:jc w:val="both"/>
        <w:rPr/>
      </w:pPr>
      <w:r>
        <w:rPr>
          <w:rFonts w:cs="Verdana" w:ascii="Verdana" w:hAnsi="Verdana"/>
          <w:b/>
          <w:bCs/>
          <w:sz w:val="20"/>
          <w:szCs w:val="20"/>
          <w:lang w:eastAsia="ar-SA"/>
        </w:rPr>
        <w:t>c)</w:t>
      </w:r>
      <w:r>
        <w:rPr>
          <w:rFonts w:cs="Verdana" w:ascii="Verdana" w:hAnsi="Verdana"/>
          <w:b w:val="false"/>
          <w:bCs w:val="false"/>
          <w:sz w:val="20"/>
          <w:szCs w:val="20"/>
          <w:lang w:eastAsia="ar-SA"/>
        </w:rPr>
        <w:t xml:space="preserve"> Cadastro Nacional de Condenações Cíveis por Atos de Improbidade Administrativa, mantido pelo Conselho Nacional de Justiça (</w:t>
      </w:r>
      <w:hyperlink r:id="rId4">
        <w:r>
          <w:rPr>
            <w:rStyle w:val="ListLabel3"/>
            <w:rFonts w:cs="Verdana" w:ascii="Verdana" w:hAnsi="Verdana"/>
            <w:b w:val="false"/>
            <w:bCs w:val="false"/>
            <w:color w:val="000080"/>
            <w:sz w:val="20"/>
            <w:szCs w:val="20"/>
            <w:u w:val="single"/>
            <w:lang w:eastAsia="ar-SA"/>
          </w:rPr>
          <w:t>www.cnj.jus.br/improbidade_adm/consultar_requerido.php</w:t>
        </w:r>
      </w:hyperlink>
      <w:r>
        <w:rPr>
          <w:rFonts w:cs="Verdana" w:ascii="Verdana" w:hAnsi="Verdana"/>
          <w:b w:val="false"/>
          <w:bCs w:val="false"/>
          <w:sz w:val="20"/>
          <w:szCs w:val="20"/>
          <w:lang w:eastAsia="ar-SA"/>
        </w:rPr>
        <w:t>).</w:t>
      </w:r>
    </w:p>
    <w:p>
      <w:pPr>
        <w:pStyle w:val="ListParagraph"/>
        <w:widowControl/>
        <w:suppressAutoHyphens w:val="true"/>
        <w:bidi w:val="0"/>
        <w:spacing w:lineRule="auto" w:line="276" w:before="85" w:after="85"/>
        <w:ind w:firstLine="567" w:left="0" w:right="0"/>
        <w:contextualSpacing w:val="false"/>
        <w:jc w:val="both"/>
        <w:rPr>
          <w:rFonts w:ascii="Verdana" w:hAnsi="Verdana"/>
          <w:sz w:val="20"/>
          <w:szCs w:val="20"/>
        </w:rPr>
      </w:pPr>
      <w:r>
        <w:rPr>
          <w:rFonts w:cs="Verdana" w:ascii="Verdana" w:hAnsi="Verdana"/>
          <w:b/>
          <w:bCs/>
          <w:sz w:val="20"/>
          <w:szCs w:val="20"/>
          <w:lang w:eastAsia="ar-SA"/>
        </w:rPr>
        <w:t>d)</w:t>
      </w:r>
      <w:r>
        <w:rPr>
          <w:rFonts w:cs="Verdana" w:ascii="Verdana" w:hAnsi="Verdana"/>
          <w:b w:val="false"/>
          <w:bCs w:val="false"/>
          <w:sz w:val="20"/>
          <w:szCs w:val="20"/>
          <w:lang w:eastAsia="ar-SA"/>
        </w:rPr>
        <w:t xml:space="preserve"> Cadastro de Inidôneos e o Cadastro Integrado de Condenações por Ilícitos Administrativos – CADICON, mantidos pelo Tribunal de Contas da União – TCU;</w:t>
      </w:r>
    </w:p>
    <w:p>
      <w:pPr>
        <w:pStyle w:val="Normal"/>
        <w:widowControl/>
        <w:suppressAutoHyphens w:val="true"/>
        <w:bidi w:val="0"/>
        <w:spacing w:lineRule="auto" w:line="276" w:before="85" w:after="85"/>
        <w:ind w:firstLine="567" w:left="0" w:right="0"/>
        <w:jc w:val="both"/>
        <w:rPr/>
      </w:pPr>
      <w:r>
        <w:rPr>
          <w:rFonts w:cs="Verdana" w:ascii="Verdana" w:hAnsi="Verdana"/>
          <w:b/>
          <w:bCs/>
          <w:sz w:val="20"/>
          <w:szCs w:val="20"/>
          <w:lang w:eastAsia="ar-SA"/>
        </w:rPr>
        <w:t>e)</w:t>
      </w:r>
      <w:r>
        <w:rPr>
          <w:rFonts w:cs="Verdana" w:ascii="Verdana" w:hAnsi="Verdana"/>
          <w:b w:val="false"/>
          <w:bCs w:val="false"/>
          <w:sz w:val="20"/>
          <w:szCs w:val="20"/>
          <w:lang w:eastAsia="ar-SA"/>
        </w:rPr>
        <w:t xml:space="preserve"> Cadastro de empresas inid</w:t>
      </w:r>
      <w:r>
        <w:rPr>
          <w:rFonts w:cs="Verdana" w:ascii="Verdana" w:hAnsi="Verdana"/>
          <w:b w:val="false"/>
          <w:bCs w:val="false"/>
          <w:sz w:val="20"/>
          <w:szCs w:val="20"/>
        </w:rPr>
        <w:t>ôneas, mantido pelo Tribunal de Contas do Estado do Espírito Santo –TCE/ES(https://www.tcees.tc.br/portal-da-transparencia/consultas/lista-de-responsaveis/empresas-inidoneas/) e proibidas de contratar com o Poder Público estadual ou municipal(</w:t>
      </w:r>
      <w:hyperlink r:id="rId5">
        <w:r>
          <w:rPr>
            <w:rStyle w:val="ListLabel4"/>
            <w:rFonts w:cs="Verdana" w:ascii="Verdana" w:hAnsi="Verdana"/>
            <w:b w:val="false"/>
            <w:bCs w:val="false"/>
            <w:color w:val="000080"/>
            <w:sz w:val="20"/>
            <w:szCs w:val="20"/>
            <w:u w:val="single"/>
          </w:rPr>
          <w:t>https://www.tcees.tc.br/portal-da-transparencia/consultas/lista-de</w:t>
        </w:r>
      </w:hyperlink>
      <w:r>
        <w:rPr>
          <w:rFonts w:cs="Verdana" w:ascii="Verdana" w:hAnsi="Verdana"/>
          <w:b w:val="false"/>
          <w:bCs w:val="false"/>
          <w:sz w:val="20"/>
          <w:szCs w:val="20"/>
        </w:rPr>
        <w:t xml:space="preserve"> responsáveis/proibidos-de-contratar/).</w:t>
      </w:r>
    </w:p>
    <w:p>
      <w:pPr>
        <w:pStyle w:val="Normal"/>
        <w:spacing w:lineRule="auto" w:line="276" w:before="85" w:after="85"/>
        <w:ind w:left="0" w:right="0"/>
        <w:jc w:val="both"/>
        <w:rPr/>
      </w:pPr>
      <w:r>
        <w:rPr>
          <w:rFonts w:cs="Verdana" w:ascii="Verdana" w:hAnsi="Verdana"/>
          <w:b w:val="false"/>
          <w:bCs w:val="false"/>
          <w:sz w:val="20"/>
          <w:szCs w:val="20"/>
          <w:lang w:eastAsia="ar-SA"/>
        </w:rPr>
        <w:t xml:space="preserve">12.1.1. </w:t>
      </w:r>
      <w:r>
        <w:rPr>
          <w:rFonts w:cs="Verdana" w:ascii="Verdana" w:hAnsi="Verdana"/>
          <w:sz w:val="20"/>
          <w:szCs w:val="20"/>
          <w:lang w:eastAsia="ar-SA"/>
        </w:rPr>
        <w:t>Para a consulta de licitantes pessoa jurídica poderá haver a substituição das consultas das alíneas “b”, “c” e “d” acima pela Consulta Consolidada de Pessoa Jurídica do TCU (</w:t>
      </w:r>
      <w:hyperlink r:id="rId6">
        <w:r>
          <w:rPr>
            <w:rStyle w:val="ListLabel5"/>
            <w:rFonts w:cs="Verdana" w:ascii="Verdana" w:hAnsi="Verdana"/>
            <w:color w:val="000080"/>
            <w:sz w:val="20"/>
            <w:szCs w:val="20"/>
            <w:u w:val="single"/>
            <w:lang w:eastAsia="ar-SA"/>
          </w:rPr>
          <w:t>https://certidoesapf.apps.tcu.gov.br/</w:t>
        </w:r>
      </w:hyperlink>
      <w:r>
        <w:rPr>
          <w:rFonts w:cs="Verdana" w:ascii="Verdana" w:hAnsi="Verdana"/>
          <w:sz w:val="20"/>
          <w:szCs w:val="20"/>
          <w:lang w:eastAsia="ar-SA"/>
        </w:rPr>
        <w:t>);</w:t>
      </w:r>
    </w:p>
    <w:p>
      <w:pPr>
        <w:pStyle w:val="Normal"/>
        <w:spacing w:lineRule="auto" w:line="276" w:before="85" w:after="85"/>
        <w:ind w:left="0" w:right="0"/>
        <w:jc w:val="both"/>
        <w:rPr>
          <w:rFonts w:ascii="Verdana" w:hAnsi="Verdana"/>
          <w:sz w:val="20"/>
          <w:szCs w:val="20"/>
        </w:rPr>
      </w:pPr>
      <w:r>
        <w:rPr>
          <w:rFonts w:cs="Verdana" w:ascii="Verdana" w:hAnsi="Verdana"/>
          <w:b w:val="false"/>
          <w:bCs w:val="false"/>
          <w:color w:val="000000"/>
          <w:sz w:val="20"/>
          <w:szCs w:val="20"/>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76" w:before="85" w:after="85"/>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12.1.2.1</w:t>
      </w:r>
      <w:r>
        <w:rPr>
          <w:rFonts w:cs="Verdana" w:ascii="Verdana" w:hAnsi="Verdana"/>
          <w:b/>
          <w:bCs/>
          <w:color w:val="000000"/>
          <w:sz w:val="20"/>
          <w:szCs w:val="20"/>
        </w:rPr>
        <w:t>.</w:t>
      </w:r>
      <w:r>
        <w:rPr>
          <w:rFonts w:cs="Verdana" w:ascii="Verdana" w:hAnsi="Verdana"/>
          <w:bCs/>
          <w:color w:val="000000"/>
          <w:sz w:val="20"/>
          <w:szCs w:val="20"/>
        </w:rPr>
        <w:t xml:space="preserve">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76" w:before="85" w:after="85"/>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76" w:before="85" w:after="85"/>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12.1.2.3. O licitante será convocado para manifestação previamente à sua desclassificação.</w:t>
      </w:r>
    </w:p>
    <w:p>
      <w:pPr>
        <w:pStyle w:val="ListParagraph"/>
        <w:spacing w:lineRule="auto" w:line="276" w:before="85" w:after="85"/>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12.1.3 .Constatada a existência de sanção, o Pregoeiro reputará o licitante inabilitado, por falta de condição de participação.</w:t>
      </w:r>
    </w:p>
    <w:p>
      <w:pPr>
        <w:pStyle w:val="ListParagraph"/>
        <w:spacing w:lineRule="auto" w:line="276" w:before="85" w:after="85"/>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tabs>
          <w:tab w:val="clear" w:pos="708"/>
          <w:tab w:val="left" w:pos="567" w:leader="none"/>
        </w:tabs>
        <w:spacing w:lineRule="auto" w:line="276" w:before="85" w:after="85"/>
        <w:ind w:hanging="0" w:left="0" w:right="0"/>
        <w:contextualSpacing w:val="false"/>
        <w:jc w:val="both"/>
        <w:rPr>
          <w:rFonts w:ascii="Verdana" w:hAnsi="Verdana"/>
          <w:sz w:val="20"/>
          <w:szCs w:val="20"/>
        </w:rPr>
      </w:pPr>
      <w:r>
        <w:rPr>
          <w:rFonts w:cs="Verdana" w:ascii="Verdana" w:hAnsi="Verdana"/>
          <w:b w:val="false"/>
          <w:bCs w:val="false"/>
          <w:sz w:val="20"/>
          <w:szCs w:val="20"/>
          <w:lang w:eastAsia="ar-SA"/>
        </w:rPr>
        <w:t xml:space="preserve">12.2. </w:t>
      </w:r>
      <w:r>
        <w:rPr>
          <w:rFonts w:cs="Verdana" w:ascii="Verdana" w:hAnsi="Verdana"/>
          <w:b w:val="false"/>
          <w:bCs w:val="false"/>
          <w:color w:val="000000"/>
          <w:sz w:val="20"/>
          <w:szCs w:val="20"/>
        </w:rPr>
        <w:t xml:space="preserve">Caso atendidas as condições de participação, </w:t>
      </w:r>
      <w:r>
        <w:rPr>
          <w:rFonts w:cs="Verdana" w:ascii="Verdana" w:hAnsi="Verdana"/>
          <w:b w:val="false"/>
          <w:bCs w:val="false"/>
          <w:sz w:val="20"/>
          <w:szCs w:val="20"/>
        </w:rPr>
        <w:t>a habilitação dos licitantes será verificada por meio do SICAF, nos documentos por ele abrangidos</w:t>
      </w:r>
      <w:r>
        <w:rPr>
          <w:rFonts w:cs="Verdana" w:ascii="Verdana" w:hAnsi="Verdana"/>
          <w:b w:val="false"/>
          <w:bCs w:val="false"/>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spacing w:lineRule="auto" w:line="276" w:before="85" w:after="85"/>
        <w:ind w:hanging="0" w:left="0" w:right="0"/>
        <w:contextualSpacing w:val="false"/>
        <w:jc w:val="both"/>
        <w:rPr>
          <w:rFonts w:ascii="Verdana" w:hAnsi="Verdana"/>
          <w:sz w:val="20"/>
          <w:szCs w:val="20"/>
        </w:rPr>
      </w:pPr>
      <w:r>
        <w:rPr>
          <w:rFonts w:cs="Verdana" w:ascii="Verdana" w:hAnsi="Verdana"/>
          <w:b w:val="false"/>
          <w:bCs w:val="false"/>
          <w:sz w:val="20"/>
          <w:szCs w:val="20"/>
          <w:lang w:eastAsia="ar-SA"/>
        </w:rPr>
        <w:t>12.2.1.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spacing w:lineRule="auto" w:line="276" w:before="85" w:after="85"/>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12.2.2. 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spacing w:lineRule="auto" w:line="276" w:before="85" w:after="85"/>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spacing w:lineRule="auto" w:line="276" w:before="85" w:after="85"/>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12.3. Ha</w:t>
      </w:r>
      <w:r>
        <w:rPr>
          <w:rFonts w:cs="Verdana" w:ascii="Verdana" w:hAnsi="Verdana"/>
          <w:color w:val="000000"/>
          <w:sz w:val="20"/>
          <w:szCs w:val="20"/>
        </w:rPr>
        <w:t>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spacing w:lineRule="auto" w:line="276" w:before="85" w:after="85"/>
        <w:ind w:hanging="0" w:left="0" w:right="0"/>
        <w:contextualSpacing w:val="false"/>
        <w:jc w:val="both"/>
        <w:rPr>
          <w:rFonts w:ascii="Verdana" w:hAnsi="Verdana"/>
          <w:sz w:val="20"/>
          <w:szCs w:val="20"/>
        </w:rPr>
      </w:pPr>
      <w:r>
        <w:rPr>
          <w:rFonts w:cs="Verdana" w:ascii="Verdana" w:hAnsi="Verdana"/>
          <w:b w:val="false"/>
          <w:bCs w:val="false"/>
          <w:sz w:val="20"/>
          <w:szCs w:val="20"/>
        </w:rPr>
        <w:t>12.4. Somente haverá a necessidade de comprovação do preenchimento de requisitos mediante apresentação dos documentos originais não-digitais quando houver dúvida em relação à integridade do documento digital.</w:t>
      </w:r>
    </w:p>
    <w:p>
      <w:pPr>
        <w:pStyle w:val="ListParagraph"/>
        <w:spacing w:lineRule="auto" w:line="276" w:before="85" w:after="85"/>
        <w:ind w:hanging="0" w:left="0" w:right="0"/>
        <w:contextualSpacing w:val="false"/>
        <w:jc w:val="both"/>
        <w:rPr>
          <w:rFonts w:ascii="Verdana" w:hAnsi="Verdana"/>
          <w:sz w:val="20"/>
          <w:szCs w:val="20"/>
        </w:rPr>
      </w:pPr>
      <w:r>
        <w:rPr>
          <w:rFonts w:cs="Verdana" w:ascii="Verdana" w:hAnsi="Verdana"/>
          <w:b w:val="false"/>
          <w:bCs w:val="false"/>
          <w:sz w:val="20"/>
          <w:szCs w:val="20"/>
        </w:rPr>
        <w:t>12.5. Não serão aceitos documentos de habilitação com indicação de CNPJ/CPF diferentes, salvo aqueles legalmente permitidos.</w:t>
      </w:r>
    </w:p>
    <w:p>
      <w:pPr>
        <w:pStyle w:val="ListParagraph"/>
        <w:spacing w:lineRule="auto" w:line="276" w:before="85" w:after="85"/>
        <w:ind w:hanging="0" w:left="0" w:right="0"/>
        <w:contextualSpacing w:val="false"/>
        <w:jc w:val="both"/>
        <w:rPr>
          <w:rFonts w:ascii="Verdana" w:hAnsi="Verdana"/>
          <w:sz w:val="20"/>
          <w:szCs w:val="20"/>
        </w:rPr>
      </w:pPr>
      <w:r>
        <w:rPr>
          <w:rFonts w:cs="Verdana" w:ascii="Verdana" w:hAnsi="Verdana"/>
          <w:b w:val="false"/>
          <w:bCs w:val="false"/>
          <w:sz w:val="20"/>
          <w:szCs w:val="20"/>
        </w:rPr>
        <w:t>12.6. Serão aceitos registros de CNPJ de licitante matriz e filial com diferenças de números de documentos pertinentes ao CND e ao CRF/FGTS, quando for comprovada a centralização do recolhimento dessas contribuições.</w:t>
      </w:r>
    </w:p>
    <w:p>
      <w:pPr>
        <w:pStyle w:val="ListParagraph"/>
        <w:spacing w:lineRule="auto" w:line="276" w:before="85" w:after="85"/>
        <w:ind w:hanging="0" w:left="0" w:right="0"/>
        <w:contextualSpacing w:val="false"/>
        <w:jc w:val="both"/>
        <w:rPr>
          <w:rFonts w:ascii="Verdana" w:hAnsi="Verdana"/>
          <w:sz w:val="20"/>
          <w:szCs w:val="20"/>
        </w:rPr>
      </w:pPr>
      <w:r>
        <w:rPr>
          <w:rFonts w:cs="Verdana" w:ascii="Verdana" w:hAnsi="Verdana"/>
          <w:b w:val="false"/>
          <w:bCs w:val="false"/>
          <w:sz w:val="20"/>
          <w:szCs w:val="20"/>
        </w:rPr>
        <w:t>12.7. Ress</w:t>
      </w:r>
      <w:r>
        <w:rPr>
          <w:rFonts w:cs="Verdana" w:ascii="Verdana" w:hAnsi="Verdana"/>
          <w:sz w:val="20"/>
          <w:szCs w:val="20"/>
        </w:rPr>
        <w:t>alvado o disposto no item 5.3, os licitantes deverão encaminhar, nos termos deste Edital, a documentação relacionada nos itens a seguir, para fins de habilitação:</w:t>
      </w:r>
    </w:p>
    <w:p>
      <w:pPr>
        <w:pStyle w:val="ListParagraph"/>
        <w:spacing w:lineRule="auto" w:line="276" w:before="85" w:after="85"/>
        <w:ind w:hanging="0" w:left="0" w:right="0"/>
        <w:contextualSpacing w:val="false"/>
        <w:jc w:val="both"/>
        <w:rPr>
          <w:rFonts w:ascii="Verdana" w:hAnsi="Verdana"/>
          <w:sz w:val="20"/>
          <w:szCs w:val="20"/>
        </w:rPr>
      </w:pPr>
      <w:r>
        <w:rPr>
          <w:rFonts w:cs="Verdana" w:ascii="Verdana" w:hAnsi="Verdana"/>
          <w:b/>
          <w:bCs/>
          <w:color w:val="000000"/>
          <w:sz w:val="20"/>
          <w:szCs w:val="20"/>
        </w:rPr>
        <w:t>12.8 Habilitação jurídica:</w:t>
      </w:r>
    </w:p>
    <w:p>
      <w:pPr>
        <w:pStyle w:val="ListParagraph"/>
        <w:spacing w:lineRule="auto" w:line="276" w:before="85" w:after="85"/>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12.8.1 No caso de empresário individual: inscrição no Registro Público de Empresas Mercantis, a cargo da Junta Comercial da respectiva sede.</w:t>
      </w:r>
    </w:p>
    <w:p>
      <w:pPr>
        <w:pStyle w:val="ListParagraph"/>
        <w:spacing w:lineRule="auto" w:line="276" w:before="85" w:after="85"/>
        <w:ind w:hanging="0" w:left="0" w:right="0"/>
        <w:contextualSpacing w:val="false"/>
        <w:jc w:val="both"/>
        <w:rPr/>
      </w:pPr>
      <w:r>
        <w:rPr>
          <w:rFonts w:cs="Verdana" w:ascii="Verdana" w:hAnsi="Verdana"/>
          <w:b w:val="false"/>
          <w:bCs w:val="false"/>
          <w:color w:val="000000"/>
          <w:sz w:val="20"/>
          <w:szCs w:val="20"/>
        </w:rPr>
        <w:t xml:space="preserve">12.8.2 Em se tratando de microempreendedor individual – MEI: Certificado da Condição de Microempreendedor Individual – CCMEI, cuja aceitação ficará condicionada à verificação da autenticidade no sítio </w:t>
      </w:r>
      <w:hyperlink r:id="rId7">
        <w:r>
          <w:rPr>
            <w:rStyle w:val="ListLabel6"/>
            <w:rFonts w:cs="Verdana" w:ascii="Verdana" w:hAnsi="Verdana"/>
            <w:b w:val="false"/>
            <w:bCs w:val="false"/>
            <w:color w:val="000000"/>
            <w:sz w:val="20"/>
            <w:szCs w:val="20"/>
            <w:u w:val="single"/>
          </w:rPr>
          <w:t>www.portaldoempreendedor.gov.br</w:t>
        </w:r>
      </w:hyperlink>
      <w:r>
        <w:rPr>
          <w:rFonts w:cs="Verdana" w:ascii="Verdana" w:hAnsi="Verdana"/>
          <w:b w:val="false"/>
          <w:bCs w:val="false"/>
          <w:color w:val="000000"/>
          <w:sz w:val="20"/>
          <w:szCs w:val="20"/>
          <w:u w:val="single"/>
        </w:rPr>
        <w:t>.</w:t>
      </w:r>
    </w:p>
    <w:p>
      <w:pPr>
        <w:pStyle w:val="ListParagraph"/>
        <w:spacing w:lineRule="auto" w:line="276" w:before="85" w:after="85"/>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spacing w:lineRule="auto" w:line="276" w:before="85" w:after="85"/>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12.8.4 Inscrição no Registro Público de Empresas Mercantis onde opera, com averbação no Registro onde tem sede a matriz, no caso de ser o participante sucursal, filial ou agência.</w:t>
      </w:r>
    </w:p>
    <w:p>
      <w:pPr>
        <w:pStyle w:val="ListParagraph"/>
        <w:spacing w:lineRule="auto" w:line="276" w:before="85" w:after="85"/>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12.8.5 No caso de sociedade simples: inscrição do ato constitutivo no Registro Civil das Pessoas Jurídicas do local de sua sede, acompanhada de prova da indicação dos seus administradores.</w:t>
      </w:r>
    </w:p>
    <w:p>
      <w:pPr>
        <w:pStyle w:val="ListParagraph"/>
        <w:spacing w:lineRule="auto" w:line="276" w:before="85" w:after="85"/>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spacing w:lineRule="auto" w:line="276" w:before="85" w:after="85"/>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12.8.7 No</w:t>
      </w:r>
      <w:r>
        <w:rPr>
          <w:rFonts w:cs="Verdana" w:ascii="Verdana" w:hAnsi="Verdana"/>
          <w:bCs/>
          <w:color w:val="000000"/>
          <w:sz w:val="20"/>
          <w:szCs w:val="20"/>
        </w:rPr>
        <w:t xml:space="preserve"> caso de empresa ou sociedade estrangeira em funcionamento no País: decreto de autorização.</w:t>
      </w:r>
    </w:p>
    <w:p>
      <w:pPr>
        <w:pStyle w:val="ListParagraph"/>
        <w:spacing w:lineRule="auto" w:line="276" w:before="85" w:after="85"/>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12.8.8 Os documentos acima deverão estar acompanhados de todas as alterações ou da con</w:t>
      </w:r>
      <w:r>
        <w:rPr>
          <w:rFonts w:cs="Verdana" w:ascii="Verdana" w:hAnsi="Verdana"/>
          <w:bCs/>
          <w:color w:val="000000"/>
          <w:sz w:val="20"/>
          <w:szCs w:val="20"/>
        </w:rPr>
        <w:t>solidação respectiva.</w:t>
      </w:r>
    </w:p>
    <w:p>
      <w:pPr>
        <w:pStyle w:val="ListParagraph"/>
        <w:spacing w:lineRule="auto" w:line="276" w:before="85" w:after="85"/>
        <w:ind w:hanging="0" w:left="0" w:right="0"/>
        <w:contextualSpacing w:val="false"/>
        <w:jc w:val="both"/>
        <w:rPr>
          <w:rFonts w:ascii="Verdana" w:hAnsi="Verdana"/>
          <w:sz w:val="20"/>
          <w:szCs w:val="20"/>
        </w:rPr>
      </w:pPr>
      <w:r>
        <w:rPr>
          <w:rFonts w:cs="Verdana" w:ascii="Verdana" w:hAnsi="Verdana"/>
          <w:b/>
          <w:bCs/>
          <w:color w:val="000000"/>
          <w:sz w:val="20"/>
          <w:szCs w:val="20"/>
        </w:rPr>
        <w:t xml:space="preserve">12.9 Regularidade fiscal </w:t>
      </w:r>
      <w:r>
        <w:rPr>
          <w:rFonts w:cs="Verdana" w:ascii="Verdana" w:hAnsi="Verdana"/>
          <w:b/>
          <w:bCs/>
          <w:sz w:val="20"/>
          <w:szCs w:val="20"/>
        </w:rPr>
        <w:t>e trabalhista</w:t>
      </w:r>
      <w:r>
        <w:rPr>
          <w:rFonts w:cs="Verdana" w:ascii="Verdana" w:hAnsi="Verdana"/>
          <w:b/>
          <w:bCs/>
          <w:color w:val="0000FF"/>
          <w:sz w:val="20"/>
          <w:szCs w:val="20"/>
        </w:rPr>
        <w:t>:</w:t>
      </w:r>
    </w:p>
    <w:p>
      <w:pPr>
        <w:pStyle w:val="Normal"/>
        <w:spacing w:lineRule="auto" w:line="276" w:before="85" w:after="85"/>
        <w:ind w:left="0" w:right="0"/>
        <w:jc w:val="both"/>
        <w:rPr>
          <w:rFonts w:ascii="Verdana" w:hAnsi="Verdana"/>
          <w:sz w:val="20"/>
          <w:szCs w:val="20"/>
        </w:rPr>
      </w:pPr>
      <w:r>
        <w:rPr>
          <w:rFonts w:cs="Verdana" w:ascii="Verdana" w:hAnsi="Verdana"/>
          <w:b w:val="false"/>
          <w:bCs w:val="false"/>
          <w:sz w:val="20"/>
          <w:szCs w:val="20"/>
          <w:lang w:eastAsia="en-US"/>
        </w:rPr>
        <w:t>12.9.1 Prova de inscrição no Cadastro Nacional de Pessoas Jurídicas ou no Cadastro de Pessoas Físicas, conforme o caso.</w:t>
      </w:r>
    </w:p>
    <w:p>
      <w:pPr>
        <w:pStyle w:val="Normal"/>
        <w:spacing w:lineRule="auto" w:line="276" w:before="85" w:after="85"/>
        <w:ind w:left="0" w:right="0"/>
        <w:jc w:val="both"/>
        <w:rPr>
          <w:rFonts w:ascii="Verdana" w:hAnsi="Verdana"/>
          <w:sz w:val="20"/>
          <w:szCs w:val="20"/>
        </w:rPr>
      </w:pPr>
      <w:r>
        <w:rPr>
          <w:rFonts w:cs="Verdana" w:ascii="Verdana" w:hAnsi="Verdana"/>
          <w:b w:val="false"/>
          <w:bCs w:val="false"/>
          <w:sz w:val="20"/>
          <w:szCs w:val="20"/>
          <w:lang w:eastAsia="en-US"/>
        </w:rPr>
        <w:t>12.9.2 Certidão de regularidade junto à fazenda pública Municipal, do domicílio do Licitante.</w:t>
      </w:r>
    </w:p>
    <w:p>
      <w:pPr>
        <w:pStyle w:val="Normal"/>
        <w:spacing w:lineRule="auto" w:line="276" w:before="85" w:after="85"/>
        <w:ind w:left="0" w:right="0"/>
        <w:jc w:val="both"/>
        <w:rPr>
          <w:rFonts w:ascii="Verdana" w:hAnsi="Verdana"/>
          <w:sz w:val="20"/>
          <w:szCs w:val="20"/>
        </w:rPr>
      </w:pPr>
      <w:r>
        <w:rPr>
          <w:rFonts w:cs="Verdana" w:ascii="Verdana" w:hAnsi="Verdana"/>
          <w:b w:val="false"/>
          <w:bCs w:val="false"/>
          <w:sz w:val="20"/>
          <w:szCs w:val="20"/>
        </w:rPr>
        <w:t>12.9.3 Certidão de regularidade junto à fazenda pública Estadual, do domicílio do Licitante.</w:t>
      </w:r>
    </w:p>
    <w:p>
      <w:pPr>
        <w:pStyle w:val="Normal"/>
        <w:spacing w:lineRule="auto" w:line="276" w:before="85" w:after="85"/>
        <w:ind w:left="0" w:right="0"/>
        <w:jc w:val="both"/>
        <w:rPr>
          <w:rFonts w:ascii="Verdana" w:hAnsi="Verdana"/>
          <w:sz w:val="20"/>
          <w:szCs w:val="20"/>
        </w:rPr>
      </w:pPr>
      <w:r>
        <w:rPr>
          <w:rFonts w:cs="Verdana" w:ascii="Verdana" w:hAnsi="Verdana"/>
          <w:b w:val="false"/>
          <w:bCs w:val="false"/>
          <w:sz w:val="20"/>
          <w:szCs w:val="20"/>
        </w:rPr>
        <w:t>12.9.4 Certidão conjunta de regularidade junto à fazenda pública Federal, (Quitação de tributos e contribuições Federais e Quanto à dívida ativa da União) e junto ao INSS, conforme Portaria MF nº 358 de 05/09/2014.</w:t>
      </w:r>
    </w:p>
    <w:p>
      <w:pPr>
        <w:pStyle w:val="Normal"/>
        <w:spacing w:lineRule="auto" w:line="276" w:before="85" w:after="85"/>
        <w:ind w:left="0" w:right="0"/>
        <w:jc w:val="both"/>
        <w:rPr>
          <w:rFonts w:ascii="Verdana" w:hAnsi="Verdana"/>
          <w:sz w:val="20"/>
          <w:szCs w:val="20"/>
        </w:rPr>
      </w:pPr>
      <w:r>
        <w:rPr>
          <w:rFonts w:cs="Verdana" w:ascii="Verdana" w:hAnsi="Verdana"/>
          <w:b w:val="false"/>
          <w:bCs w:val="false"/>
          <w:sz w:val="20"/>
          <w:szCs w:val="20"/>
        </w:rPr>
        <w:t>12.9.5 Certidão de regularidade junto ao FGTS;</w:t>
      </w:r>
    </w:p>
    <w:p>
      <w:pPr>
        <w:pStyle w:val="Normal"/>
        <w:spacing w:lineRule="auto" w:line="276" w:before="85" w:after="85"/>
        <w:ind w:left="0" w:right="0"/>
        <w:jc w:val="both"/>
        <w:rPr>
          <w:rFonts w:ascii="Verdana" w:hAnsi="Verdana"/>
          <w:sz w:val="20"/>
          <w:szCs w:val="20"/>
        </w:rPr>
      </w:pPr>
      <w:r>
        <w:rPr>
          <w:rFonts w:cs="Verdana" w:ascii="Verdana" w:hAnsi="Verdana"/>
          <w:b w:val="false"/>
          <w:bCs w:val="false"/>
          <w:sz w:val="20"/>
          <w:szCs w:val="20"/>
          <w:lang w:eastAsia="en-US"/>
        </w:rPr>
        <w:t>12.9.6 Certidão Negativa De Débitos Trabalhistas (CNDT) de acordo com a Lei 12440 de 7 de julho de 2011.</w:t>
      </w:r>
    </w:p>
    <w:p>
      <w:pPr>
        <w:pStyle w:val="Normal"/>
        <w:spacing w:lineRule="auto" w:line="276" w:before="85" w:after="85"/>
        <w:ind w:left="0" w:right="0"/>
        <w:jc w:val="both"/>
        <w:rPr>
          <w:rFonts w:ascii="Verdana" w:hAnsi="Verdana"/>
          <w:sz w:val="20"/>
          <w:szCs w:val="20"/>
        </w:rPr>
      </w:pPr>
      <w:r>
        <w:rPr>
          <w:rFonts w:cs="Verdana" w:ascii="Verdana" w:hAnsi="Verdana"/>
          <w:b w:val="false"/>
          <w:bCs w:val="false"/>
          <w:color w:val="000000"/>
          <w:sz w:val="20"/>
          <w:szCs w:val="20"/>
          <w:lang w:eastAsia="en-US" w:bidi="pt-BR"/>
        </w:rPr>
        <w:t xml:space="preserve">12.9.7 Caso o vencedor do menor preço seja qualificado como microempresa ou empresa de pequeno porte </w:t>
      </w:r>
      <w:r>
        <w:rPr>
          <w:rFonts w:cs="Verdana" w:ascii="Verdana" w:hAnsi="Verdana"/>
          <w:b w:val="false"/>
          <w:bCs w:val="false"/>
          <w:color w:val="000000"/>
          <w:sz w:val="20"/>
          <w:szCs w:val="20"/>
          <w:lang w:eastAsia="en-US"/>
        </w:rPr>
        <w:t>deverá apresentar toda a documentação exigida para efeito de</w:t>
      </w:r>
      <w:r>
        <w:rPr>
          <w:rFonts w:cs="Verdana" w:ascii="Verdana" w:hAnsi="Verdana"/>
          <w:color w:val="000000"/>
          <w:sz w:val="20"/>
          <w:szCs w:val="20"/>
          <w:lang w:eastAsia="en-US"/>
        </w:rPr>
        <w:t xml:space="preserve"> comprovação de regularidade fiscal, mesmo que esta apresente alguma restrição, sob pena de inabilitação.</w:t>
      </w:r>
    </w:p>
    <w:p>
      <w:pPr>
        <w:pStyle w:val="ListParagraph"/>
        <w:spacing w:lineRule="auto" w:line="276" w:before="85" w:after="85"/>
        <w:ind w:hanging="0" w:left="0" w:right="0"/>
        <w:contextualSpacing w:val="false"/>
        <w:jc w:val="both"/>
        <w:rPr>
          <w:rFonts w:ascii="Verdana" w:hAnsi="Verdana"/>
          <w:sz w:val="20"/>
          <w:szCs w:val="20"/>
        </w:rPr>
      </w:pPr>
      <w:r>
        <w:rPr>
          <w:rFonts w:cs="Verdana" w:ascii="Verdana" w:hAnsi="Verdana"/>
          <w:b/>
          <w:color w:val="000000"/>
          <w:sz w:val="20"/>
          <w:szCs w:val="20"/>
        </w:rPr>
        <w:t>12.10 Qualificação Econômico-Financeira</w:t>
      </w:r>
      <w:r>
        <w:rPr>
          <w:rFonts w:cs="Verdana" w:ascii="Verdana" w:hAnsi="Verdana"/>
          <w:color w:val="000000"/>
          <w:sz w:val="20"/>
          <w:szCs w:val="20"/>
        </w:rPr>
        <w:t>.</w:t>
      </w:r>
    </w:p>
    <w:p>
      <w:pPr>
        <w:pStyle w:val="Normal"/>
        <w:tabs>
          <w:tab w:val="clear" w:pos="708"/>
          <w:tab w:val="left" w:pos="850" w:leader="none"/>
        </w:tabs>
        <w:spacing w:lineRule="auto" w:line="276" w:before="85" w:after="85"/>
        <w:ind w:left="0" w:right="0"/>
        <w:jc w:val="both"/>
        <w:rPr>
          <w:rFonts w:ascii="Verdana" w:hAnsi="Verdana"/>
          <w:sz w:val="20"/>
          <w:szCs w:val="20"/>
        </w:rPr>
      </w:pPr>
      <w:r>
        <w:rPr>
          <w:rFonts w:cs="Verdana" w:ascii="Verdana" w:hAnsi="Verdana"/>
          <w:b w:val="false"/>
          <w:bCs w:val="false"/>
          <w:color w:val="000000"/>
          <w:sz w:val="20"/>
          <w:szCs w:val="20"/>
        </w:rPr>
        <w:t>12.10.1 Certidão negativa de falência, recuperação judicial e extrajudicial, expedida pelo cartório distribuidor da sede da Licitante ou por meio digital, emitida em até 30 (trinta) dias anteriores à data de abertura da Licitação;</w:t>
      </w:r>
    </w:p>
    <w:p>
      <w:pPr>
        <w:pStyle w:val="Normal"/>
        <w:tabs>
          <w:tab w:val="clear" w:pos="708"/>
          <w:tab w:val="left" w:pos="850" w:leader="none"/>
        </w:tabs>
        <w:spacing w:lineRule="auto" w:line="276" w:before="85" w:after="85"/>
        <w:ind w:left="0" w:right="0"/>
        <w:jc w:val="both"/>
        <w:rPr>
          <w:rFonts w:ascii="Verdana" w:hAnsi="Verdana"/>
          <w:sz w:val="20"/>
          <w:szCs w:val="20"/>
        </w:rPr>
      </w:pPr>
      <w:r>
        <w:rPr>
          <w:rFonts w:cs="Verdana" w:ascii="Verdana" w:hAnsi="Verdana"/>
          <w:b w:val="false"/>
          <w:bCs w:val="false"/>
          <w:color w:val="000000"/>
          <w:sz w:val="20"/>
          <w:szCs w:val="20"/>
        </w:rPr>
        <w:t>12.10.2 Havendo algum prazo de validade estabelecido por cartório na certidão citada na letra anterior, será considerado o prazo constante da certidão para comprovação da sua validade.</w:t>
      </w:r>
    </w:p>
    <w:p>
      <w:pPr>
        <w:pStyle w:val="Normal"/>
        <w:tabs>
          <w:tab w:val="clear" w:pos="708"/>
          <w:tab w:val="left" w:pos="850" w:leader="none"/>
        </w:tabs>
        <w:spacing w:lineRule="auto" w:line="276" w:before="85" w:after="85"/>
        <w:ind w:hanging="0" w:left="0" w:right="0"/>
        <w:jc w:val="both"/>
        <w:rPr>
          <w:rFonts w:ascii="Verdana" w:hAnsi="Verdana"/>
          <w:sz w:val="20"/>
          <w:szCs w:val="20"/>
        </w:rPr>
      </w:pPr>
      <w:r>
        <w:rPr>
          <w:rFonts w:cs="Verdana" w:ascii="Verdana" w:hAnsi="Verdana"/>
          <w:b w:val="false"/>
          <w:bCs w:val="false"/>
          <w:sz w:val="20"/>
          <w:szCs w:val="20"/>
        </w:rPr>
        <w:t>12.10.3 Para a contagem do prazo estabelecido na letra “a” deste capítulo, será contado a partir do primeiro dia que antecede a data da realização desta licitação.</w:t>
      </w:r>
    </w:p>
    <w:p>
      <w:pPr>
        <w:pStyle w:val="Normal"/>
        <w:tabs>
          <w:tab w:val="clear" w:pos="708"/>
          <w:tab w:val="left" w:pos="850" w:leader="none"/>
        </w:tabs>
        <w:spacing w:lineRule="auto" w:line="276" w:before="85" w:after="85"/>
        <w:ind w:hanging="0" w:left="0" w:right="0"/>
        <w:jc w:val="both"/>
        <w:rPr>
          <w:rFonts w:ascii="Verdana" w:hAnsi="Verdana"/>
          <w:sz w:val="20"/>
          <w:szCs w:val="20"/>
        </w:rPr>
      </w:pPr>
      <w:r>
        <w:rPr>
          <w:rFonts w:cs="Verdana" w:ascii="Verdana" w:hAnsi="Verdana"/>
          <w:b w:val="false"/>
          <w:bCs w:val="false"/>
          <w:color w:val="000000"/>
          <w:sz w:val="20"/>
          <w:szCs w:val="20"/>
          <w:lang w:eastAsia="en-US"/>
        </w:rPr>
        <w:t xml:space="preserve">12.10.4 </w:t>
      </w:r>
      <w:r>
        <w:rPr>
          <w:rFonts w:cs="Verdana" w:ascii="Verdana" w:hAnsi="Verdana"/>
          <w:color w:val="000000"/>
          <w:sz w:val="20"/>
          <w:szCs w:val="20"/>
          <w:lang w:eastAsia="en-US"/>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spacing w:lineRule="auto" w:line="276" w:before="85" w:after="85"/>
        <w:ind w:hanging="0" w:left="0" w:right="0"/>
        <w:jc w:val="both"/>
        <w:rPr>
          <w:rFonts w:ascii="Verdana" w:hAnsi="Verdana" w:cs="Arial"/>
          <w:b/>
          <w:sz w:val="20"/>
          <w:szCs w:val="20"/>
          <w:u w:val="single"/>
        </w:rPr>
      </w:pPr>
      <w:r>
        <w:rPr>
          <w:rFonts w:cs="Arial" w:ascii="Verdana" w:hAnsi="Verdana"/>
          <w:b/>
          <w:sz w:val="20"/>
          <w:szCs w:val="20"/>
          <w:u w:val="single"/>
        </w:rPr>
      </w:r>
    </w:p>
    <w:p>
      <w:pPr>
        <w:pStyle w:val="Normal"/>
        <w:spacing w:lineRule="auto" w:line="276" w:before="85" w:after="85"/>
        <w:ind w:hanging="0" w:left="0" w:right="0"/>
        <w:rPr>
          <w:rFonts w:ascii="Verdana" w:hAnsi="Verdana"/>
          <w:sz w:val="20"/>
          <w:szCs w:val="20"/>
        </w:rPr>
      </w:pPr>
      <w:r>
        <w:rPr>
          <w:rFonts w:cs="Times New Roman" w:ascii="Verdana" w:hAnsi="Verdana"/>
          <w:b/>
          <w:bCs/>
          <w:sz w:val="20"/>
          <w:szCs w:val="20"/>
        </w:rPr>
        <w:t xml:space="preserve">13. ADEQUAÇÃO ORÇAMENTÁRIA </w:t>
      </w:r>
    </w:p>
    <w:p>
      <w:pPr>
        <w:pStyle w:val="ListParagraph"/>
        <w:spacing w:lineRule="auto" w:line="276" w:before="85" w:after="85"/>
        <w:ind w:hanging="0" w:left="0" w:right="0"/>
        <w:contextualSpacing w:val="false"/>
        <w:jc w:val="both"/>
        <w:rPr>
          <w:rFonts w:ascii="Verdana" w:hAnsi="Verdana"/>
          <w:sz w:val="20"/>
          <w:szCs w:val="20"/>
        </w:rPr>
      </w:pPr>
      <w:r>
        <w:rPr>
          <w:rFonts w:ascii="Verdana" w:hAnsi="Verdana"/>
          <w:b w:val="false"/>
          <w:bCs w:val="false"/>
          <w:sz w:val="20"/>
          <w:szCs w:val="20"/>
        </w:rPr>
        <w:t>13.1.</w:t>
      </w:r>
      <w:r>
        <w:rPr>
          <w:rFonts w:ascii="Verdana" w:hAnsi="Verdana"/>
          <w:b/>
          <w:bCs/>
          <w:sz w:val="20"/>
          <w:szCs w:val="20"/>
        </w:rPr>
        <w:t xml:space="preserve"> </w:t>
      </w:r>
      <w:r>
        <w:rPr>
          <w:rFonts w:ascii="Verdana" w:hAnsi="Verdana"/>
          <w:sz w:val="20"/>
          <w:szCs w:val="20"/>
        </w:rPr>
        <w:t xml:space="preserve">As despesas decorrentes da presente </w:t>
      </w:r>
      <w:r>
        <w:rPr>
          <w:rFonts w:eastAsia="Times New Roman" w:cs="Times New Roman" w:ascii="Verdana" w:hAnsi="Verdana"/>
          <w:sz w:val="20"/>
          <w:szCs w:val="20"/>
        </w:rPr>
        <w:t>aquisição</w:t>
      </w:r>
      <w:r>
        <w:rPr>
          <w:rFonts w:ascii="Verdana" w:hAnsi="Verdana"/>
          <w:sz w:val="20"/>
          <w:szCs w:val="20"/>
        </w:rPr>
        <w:t xml:space="preserve"> correrão à conta de recursos específicos consignados no Lei Orçamentária Anual, bem como requisição do sistema presente nos autos</w:t>
      </w:r>
      <w:r>
        <w:rPr>
          <w:rFonts w:cs="Arial" w:ascii="Verdana" w:hAnsi="Verdana"/>
          <w:b w:val="false"/>
          <w:bCs w:val="false"/>
          <w:sz w:val="20"/>
          <w:szCs w:val="20"/>
          <w:u w:val="none"/>
        </w:rPr>
        <w:t>:</w:t>
      </w:r>
    </w:p>
    <w:p>
      <w:pPr>
        <w:pStyle w:val="Normal"/>
        <w:spacing w:lineRule="auto" w:line="276" w:before="85" w:after="85"/>
        <w:ind w:left="0" w:right="0"/>
        <w:jc w:val="both"/>
        <w:rPr>
          <w:rFonts w:ascii="Verdana" w:hAnsi="Verdana"/>
          <w:sz w:val="20"/>
          <w:szCs w:val="20"/>
          <w:u w:val="none"/>
        </w:rPr>
      </w:pPr>
      <w:r>
        <w:rPr>
          <w:rFonts w:eastAsia="Times New Roman" w:cs="Verdana" w:ascii="Verdana" w:hAnsi="Verdana"/>
          <w:b/>
          <w:bCs/>
          <w:color w:val="000000"/>
          <w:kern w:val="0"/>
          <w:sz w:val="20"/>
          <w:szCs w:val="20"/>
          <w:u w:val="none"/>
          <w:shd w:fill="FFFFFF" w:val="clear"/>
          <w:lang w:val="pt-BR" w:eastAsia="pt-BR" w:bidi="ar-SA"/>
        </w:rPr>
        <w:t>Projeto/Atividade – 000004000002.1030142032.404 – Manutenção da Atenção Básica com recursos do piso da Atenção Básica – Ficha 516  (EQUIPAMENTO E MATERIAL PERMANENTE) – Fonte de Recurso 160000000000</w:t>
      </w:r>
      <w:r>
        <w:rPr>
          <w:rFonts w:eastAsia="Times New Roman" w:cs="Verdana" w:ascii="Verdana" w:hAnsi="Verdana"/>
          <w:b w:val="false"/>
          <w:bCs w:val="false"/>
          <w:color w:val="000000"/>
          <w:kern w:val="0"/>
          <w:sz w:val="20"/>
          <w:szCs w:val="20"/>
          <w:u w:val="none"/>
          <w:shd w:fill="FFFFFF" w:val="clear"/>
          <w:lang w:val="pt-BR" w:eastAsia="pt-BR" w:bidi="ar-SA"/>
        </w:rPr>
        <w:t>.</w:t>
      </w:r>
    </w:p>
    <w:p>
      <w:pPr>
        <w:pStyle w:val="Normal"/>
        <w:spacing w:lineRule="auto" w:line="276" w:before="85" w:after="85"/>
        <w:ind w:left="0" w:right="0"/>
        <w:jc w:val="both"/>
        <w:rPr>
          <w:rFonts w:ascii="Verdana" w:hAnsi="Verdana" w:eastAsia="Times New Roman" w:cs="Verdana"/>
          <w:b w:val="false"/>
          <w:bCs w:val="false"/>
          <w:color w:val="000000"/>
          <w:kern w:val="0"/>
          <w:sz w:val="20"/>
          <w:szCs w:val="20"/>
          <w:u w:val="single"/>
          <w:shd w:fill="FFFFFF" w:val="clear"/>
          <w:lang w:val="pt-BR" w:eastAsia="pt-BR" w:bidi="ar-SA"/>
        </w:rPr>
      </w:pPr>
      <w:r>
        <w:rPr>
          <w:rFonts w:eastAsia="Times New Roman" w:cs="Verdana" w:ascii="Verdana" w:hAnsi="Verdana"/>
          <w:b w:val="false"/>
          <w:bCs w:val="false"/>
          <w:color w:val="000000"/>
          <w:kern w:val="0"/>
          <w:sz w:val="20"/>
          <w:szCs w:val="20"/>
          <w:u w:val="single"/>
          <w:shd w:fill="FFFFFF" w:val="clear"/>
          <w:lang w:val="pt-BR" w:eastAsia="pt-BR" w:bidi="ar-SA"/>
        </w:rPr>
      </w:r>
    </w:p>
    <w:p>
      <w:pPr>
        <w:pStyle w:val="Normal"/>
        <w:spacing w:lineRule="auto" w:line="276" w:before="85" w:after="85"/>
        <w:ind w:left="0" w:right="0"/>
        <w:jc w:val="both"/>
        <w:rPr>
          <w:rFonts w:ascii="Verdana" w:hAnsi="Verdana"/>
          <w:sz w:val="20"/>
          <w:szCs w:val="20"/>
        </w:rPr>
      </w:pPr>
      <w:r>
        <w:rPr>
          <w:rFonts w:cs="Arial" w:ascii="Verdana" w:hAnsi="Verdana"/>
          <w:b/>
          <w:bCs/>
          <w:color w:val="000000"/>
          <w:sz w:val="20"/>
          <w:szCs w:val="20"/>
        </w:rPr>
        <w:t>14. DOS RESPONSÁVEIS PELA ELABORAÇÃO DO TERMO DE REFERÊNCIA</w:t>
      </w:r>
    </w:p>
    <w:p>
      <w:pPr>
        <w:pStyle w:val="Normal"/>
        <w:spacing w:lineRule="auto" w:line="276" w:before="85" w:after="85"/>
        <w:ind w:left="0" w:right="0"/>
        <w:jc w:val="both"/>
        <w:rPr>
          <w:rFonts w:ascii="Verdana" w:hAnsi="Verdana"/>
          <w:sz w:val="20"/>
          <w:szCs w:val="20"/>
        </w:rPr>
      </w:pPr>
      <w:r>
        <w:rPr>
          <w:rFonts w:cs="Arial" w:ascii="Verdana" w:hAnsi="Verdana"/>
          <w:b w:val="false"/>
          <w:bCs w:val="false"/>
          <w:color w:val="000000"/>
          <w:sz w:val="20"/>
          <w:szCs w:val="20"/>
        </w:rPr>
        <w:t>14.1. A compilação d</w:t>
      </w:r>
      <w:r>
        <w:rPr>
          <w:rFonts w:eastAsia="Times New Roman" w:cs="Arial" w:ascii="Verdana" w:hAnsi="Verdana"/>
          <w:b w:val="false"/>
          <w:bCs w:val="false"/>
          <w:color w:val="000000"/>
          <w:sz w:val="20"/>
          <w:szCs w:val="20"/>
        </w:rPr>
        <w:t>e parte das</w:t>
      </w:r>
      <w:r>
        <w:rPr>
          <w:rFonts w:cs="Arial" w:ascii="Verdana" w:hAnsi="Verdana"/>
          <w:b w:val="false"/>
          <w:bCs w:val="false"/>
          <w:color w:val="000000"/>
          <w:sz w:val="20"/>
          <w:szCs w:val="20"/>
        </w:rPr>
        <w:t xml:space="preserve"> informações mencionados </w:t>
      </w:r>
      <w:r>
        <w:rPr>
          <w:rFonts w:eastAsia="Times New Roman" w:cs="Arial" w:ascii="Verdana" w:hAnsi="Verdana"/>
          <w:b w:val="false"/>
          <w:bCs w:val="false"/>
          <w:color w:val="000000"/>
          <w:sz w:val="20"/>
          <w:szCs w:val="20"/>
        </w:rPr>
        <w:t>na</w:t>
      </w:r>
      <w:r>
        <w:rPr>
          <w:rFonts w:cs="Arial" w:ascii="Verdana" w:hAnsi="Verdana"/>
          <w:b w:val="false"/>
          <w:bCs w:val="false"/>
          <w:color w:val="000000"/>
          <w:sz w:val="20"/>
          <w:szCs w:val="20"/>
        </w:rPr>
        <w:t xml:space="preserve"> elaboração deste Termo de Referência foram estruturadas através do ETP – Estudo Técnico Preliminar elaborado pela secretaria requisitante.</w:t>
      </w:r>
    </w:p>
    <w:p>
      <w:pPr>
        <w:pStyle w:val="Normal"/>
        <w:spacing w:lineRule="auto" w:line="276" w:before="85" w:after="85"/>
        <w:ind w:left="0" w:right="0"/>
        <w:jc w:val="right"/>
        <w:rPr>
          <w:rFonts w:ascii="Verdana" w:hAnsi="Verdana"/>
          <w:sz w:val="20"/>
          <w:szCs w:val="20"/>
        </w:rPr>
      </w:pPr>
      <w:r>
        <w:rPr>
          <w:rFonts w:ascii="Verdana" w:hAnsi="Verdana"/>
          <w:sz w:val="20"/>
          <w:szCs w:val="20"/>
        </w:rPr>
        <w:t>São Gabriel da Palha, 01 de agosto de 2024</w:t>
      </w:r>
    </w:p>
    <w:p>
      <w:pPr>
        <w:pStyle w:val="Normal"/>
        <w:spacing w:lineRule="auto" w:line="276" w:before="85" w:after="85"/>
        <w:ind w:left="0" w:right="0"/>
        <w:jc w:val="right"/>
        <w:rPr>
          <w:rFonts w:ascii="Verdana" w:hAnsi="Verdana" w:cs="Arial"/>
          <w:b/>
          <w:sz w:val="20"/>
          <w:szCs w:val="20"/>
          <w:u w:val="single"/>
        </w:rPr>
      </w:pPr>
      <w:r>
        <w:rPr>
          <w:rFonts w:cs="Arial" w:ascii="Verdana" w:hAnsi="Verdana"/>
          <w:b/>
          <w:sz w:val="20"/>
          <w:szCs w:val="20"/>
          <w:u w:val="single"/>
        </w:rPr>
      </w:r>
    </w:p>
    <w:p>
      <w:pPr>
        <w:pStyle w:val="Normal"/>
        <w:spacing w:lineRule="auto" w:line="276" w:before="85" w:after="85"/>
        <w:ind w:left="0" w:right="0"/>
        <w:jc w:val="both"/>
        <w:rPr>
          <w:rFonts w:ascii="Verdana" w:hAnsi="Verdana"/>
          <w:sz w:val="20"/>
          <w:szCs w:val="20"/>
        </w:rPr>
      </w:pPr>
      <w:r>
        <w:rPr>
          <w:rFonts w:cs="Arial" w:ascii="Verdana" w:hAnsi="Verdana"/>
          <w:b/>
          <w:bCs/>
          <w:sz w:val="20"/>
          <w:szCs w:val="20"/>
        </w:rPr>
        <w:t>Elaborado por:</w:t>
      </w:r>
    </w:p>
    <w:p>
      <w:pPr>
        <w:pStyle w:val="Normal"/>
        <w:spacing w:lineRule="auto" w:line="276" w:before="85" w:after="85"/>
        <w:ind w:left="0" w:right="0"/>
        <w:jc w:val="both"/>
        <w:rPr>
          <w:rFonts w:ascii="Verdana" w:hAnsi="Verdana" w:cs="Arial"/>
          <w:b/>
          <w:sz w:val="20"/>
          <w:szCs w:val="20"/>
          <w:u w:val="single"/>
        </w:rPr>
      </w:pPr>
      <w:r>
        <w:rPr>
          <w:rFonts w:cs="Arial" w:ascii="Verdana" w:hAnsi="Verdana"/>
          <w:b/>
          <w:sz w:val="20"/>
          <w:szCs w:val="20"/>
          <w:u w:val="single"/>
        </w:rPr>
      </w:r>
    </w:p>
    <w:p>
      <w:pPr>
        <w:pStyle w:val="Normal"/>
        <w:spacing w:lineRule="auto" w:line="276" w:before="85" w:after="85"/>
        <w:ind w:left="0" w:right="0"/>
        <w:rPr>
          <w:rFonts w:ascii="Verdana" w:hAnsi="Verdana"/>
          <w:sz w:val="20"/>
          <w:szCs w:val="20"/>
        </w:rPr>
      </w:pPr>
      <w:bookmarkEnd w:id="0"/>
      <w:bookmarkEnd w:id="1"/>
      <w:bookmarkEnd w:id="2"/>
      <w:bookmarkEnd w:id="3"/>
      <w:bookmarkEnd w:id="4"/>
      <w:bookmarkEnd w:id="5"/>
      <w:bookmarkEnd w:id="6"/>
      <w:r>
        <w:rPr>
          <w:rFonts w:cs="Arial" w:ascii="Verdana" w:hAnsi="Verdana"/>
          <w:b/>
          <w:sz w:val="20"/>
          <w:szCs w:val="20"/>
          <w:u w:val="single"/>
        </w:rPr>
        <w:t>KARINA ARRIVABENE</w:t>
      </w:r>
    </w:p>
    <w:p>
      <w:pPr>
        <w:pStyle w:val="Normal"/>
        <w:spacing w:lineRule="auto" w:line="276" w:before="85" w:after="85"/>
        <w:ind w:left="0" w:right="0"/>
        <w:rPr>
          <w:rFonts w:ascii="Verdana" w:hAnsi="Verdana"/>
          <w:sz w:val="20"/>
          <w:szCs w:val="20"/>
        </w:rPr>
      </w:pPr>
      <w:r>
        <w:rPr>
          <w:rFonts w:cs="Arial" w:ascii="Verdana" w:hAnsi="Verdana"/>
          <w:b/>
          <w:sz w:val="20"/>
          <w:szCs w:val="20"/>
          <w:u w:val="single"/>
        </w:rPr>
        <w:t>Escriturário</w:t>
      </w:r>
    </w:p>
    <w:p>
      <w:pPr>
        <w:pStyle w:val="Normal"/>
        <w:spacing w:lineRule="auto" w:line="276" w:before="85" w:after="85"/>
        <w:ind w:left="0" w:right="0"/>
        <w:rPr>
          <w:rFonts w:ascii="Verdana" w:hAnsi="Verdana"/>
          <w:sz w:val="20"/>
          <w:szCs w:val="20"/>
        </w:rPr>
      </w:pPr>
      <w:r>
        <w:rPr>
          <w:rFonts w:ascii="Verdana" w:hAnsi="Verdana"/>
          <w:sz w:val="20"/>
          <w:szCs w:val="20"/>
        </w:rPr>
        <w:t>Mat nº 003463</w:t>
      </w:r>
    </w:p>
    <w:p>
      <w:pPr>
        <w:pStyle w:val="Normal"/>
        <w:spacing w:lineRule="auto" w:line="276" w:before="85" w:after="85"/>
        <w:ind w:left="0" w:right="0"/>
        <w:rPr>
          <w:rFonts w:ascii="Verdana" w:hAnsi="Verdana"/>
          <w:sz w:val="20"/>
          <w:szCs w:val="20"/>
        </w:rPr>
      </w:pPr>
      <w:r>
        <w:rPr>
          <w:rFonts w:ascii="Verdana" w:hAnsi="Verdana"/>
          <w:sz w:val="20"/>
          <w:szCs w:val="20"/>
        </w:rPr>
      </w:r>
    </w:p>
    <w:p>
      <w:pPr>
        <w:pStyle w:val="Normal"/>
        <w:spacing w:lineRule="auto" w:line="276" w:before="85" w:after="85"/>
        <w:ind w:left="0" w:right="0"/>
        <w:rPr>
          <w:rFonts w:ascii="Verdana" w:hAnsi="Verdana"/>
          <w:sz w:val="20"/>
          <w:szCs w:val="20"/>
        </w:rPr>
      </w:pPr>
      <w:r>
        <w:rPr>
          <w:rFonts w:ascii="Verdana" w:hAnsi="Verdana"/>
          <w:sz w:val="20"/>
          <w:szCs w:val="20"/>
        </w:rPr>
      </w:r>
    </w:p>
    <w:p>
      <w:pPr>
        <w:pStyle w:val="Normal"/>
        <w:spacing w:lineRule="auto" w:line="276" w:before="85" w:after="85"/>
        <w:ind w:left="0" w:right="0"/>
        <w:rPr>
          <w:rFonts w:ascii="Verdana" w:hAnsi="Verdana"/>
          <w:sz w:val="20"/>
          <w:szCs w:val="20"/>
        </w:rPr>
      </w:pPr>
      <w:r>
        <w:rPr>
          <w:rFonts w:ascii="Verdana" w:hAnsi="Verdana"/>
          <w:sz w:val="20"/>
          <w:szCs w:val="20"/>
        </w:rPr>
      </w:r>
    </w:p>
    <w:p>
      <w:pPr>
        <w:pStyle w:val="Normal"/>
        <w:spacing w:lineRule="auto" w:line="276" w:before="85" w:after="85"/>
        <w:ind w:left="0" w:right="0"/>
        <w:rPr>
          <w:rFonts w:ascii="Verdana" w:hAnsi="Verdana"/>
          <w:sz w:val="20"/>
          <w:szCs w:val="20"/>
        </w:rPr>
      </w:pPr>
      <w:r>
        <w:rPr>
          <w:rFonts w:ascii="Verdana" w:hAnsi="Verdana"/>
          <w:sz w:val="20"/>
          <w:szCs w:val="20"/>
        </w:rPr>
        <w:t>APROVADO POR:</w:t>
      </w:r>
    </w:p>
    <w:p>
      <w:pPr>
        <w:pStyle w:val="Normal"/>
        <w:spacing w:lineRule="auto" w:line="276" w:before="85" w:after="85"/>
        <w:ind w:left="0" w:right="0"/>
        <w:rPr>
          <w:rFonts w:ascii="Verdana" w:hAnsi="Verdana"/>
          <w:sz w:val="20"/>
          <w:szCs w:val="20"/>
        </w:rPr>
      </w:pPr>
      <w:r>
        <w:rPr>
          <w:rFonts w:ascii="Verdana" w:hAnsi="Verdana"/>
          <w:sz w:val="20"/>
          <w:szCs w:val="20"/>
        </w:rPr>
        <w:t>MARCELLA FERREIRA ROSSONI ROCHA</w:t>
      </w:r>
    </w:p>
    <w:p>
      <w:pPr>
        <w:pStyle w:val="Normal"/>
        <w:spacing w:lineRule="auto" w:line="276" w:before="85" w:after="85"/>
        <w:ind w:left="0" w:right="0"/>
        <w:rPr>
          <w:rFonts w:ascii="Verdana" w:hAnsi="Verdana"/>
          <w:sz w:val="20"/>
          <w:szCs w:val="20"/>
        </w:rPr>
      </w:pPr>
      <w:r>
        <w:rPr>
          <w:rFonts w:ascii="Verdana" w:hAnsi="Verdana"/>
          <w:sz w:val="20"/>
          <w:szCs w:val="20"/>
        </w:rPr>
        <w:t>SECRETÁRIA MUNICIPAL DE SAÚDE – INTERINA</w:t>
      </w:r>
    </w:p>
    <w:p>
      <w:pPr>
        <w:pStyle w:val="Normal"/>
        <w:spacing w:lineRule="auto" w:line="276" w:before="85" w:after="85"/>
        <w:ind w:left="0" w:right="0"/>
        <w:rPr>
          <w:rFonts w:ascii="Verdana" w:hAnsi="Verdana"/>
          <w:sz w:val="20"/>
          <w:szCs w:val="20"/>
        </w:rPr>
      </w:pPr>
      <w:r>
        <w:rPr>
          <w:rFonts w:ascii="Verdana" w:hAnsi="Verdana"/>
          <w:sz w:val="20"/>
          <w:szCs w:val="20"/>
        </w:rPr>
      </w:r>
    </w:p>
    <w:sectPr>
      <w:headerReference w:type="default" r:id="rId8"/>
      <w:footerReference w:type="default" r:id="rId9"/>
      <w:type w:val="nextPage"/>
      <w:pgSz w:w="11906" w:h="16838"/>
      <w:pgMar w:left="1550" w:right="905" w:gutter="0" w:header="227" w:top="851" w:footer="415" w:bottom="923"/>
      <w:pgNumType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Arial">
    <w:charset w:val="00"/>
    <w:family w:val="roman"/>
    <w:pitch w:val="variable"/>
  </w:font>
  <w:font w:name="Ecofont_Spranq_eco_Sans">
    <w:charset w:val="00"/>
    <w:family w:val="roman"/>
    <w:pitch w:val="variable"/>
  </w:font>
  <w:font w:name="Tahoma">
    <w:charset w:val="00"/>
    <w:family w:val="roman"/>
    <w:pitch w:val="variable"/>
  </w:font>
  <w:font w:name="Verdana">
    <w:charset w:val="00"/>
    <w:family w:val="roman"/>
    <w:pitch w:val="variable"/>
  </w:font>
  <w:font w:name="Courier New">
    <w:charset w:val="00"/>
    <w:family w:val="roman"/>
    <w:pitch w:val="variable"/>
  </w:font>
  <w:font w:name="OpenSymbol">
    <w:altName w:val="Arial Unicode MS"/>
    <w:charset w:val="02"/>
    <w:family w:val="auto"/>
    <w:pitch w:val="default"/>
  </w:font>
  <w:font w:name="Liberation Sans">
    <w:altName w:val="Arial"/>
    <w:charset w:val="00"/>
    <w:family w:val="roman"/>
    <w:pitch w:val="variable"/>
  </w:font>
  <w:font w:name="Verdana">
    <w:charset w:val="01"/>
    <w:family w:val="swiss"/>
    <w:pitch w:val="variable"/>
  </w:font>
  <w:font w:name="Arial Narrow">
    <w:charset w:val="00"/>
    <w:family w:val="roman"/>
    <w:pitch w:val="variable"/>
  </w:font>
  <w:font w:name="Wingdings">
    <w:charset w:val="02"/>
    <w:family w:val="auto"/>
    <w:pitch w:val="default"/>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rStyle w:val="Pagenumbe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Footer"/>
      <w:pBdr>
        <w:top w:val="single" w:sz="4" w:space="1" w:color="000000"/>
      </w:pBdr>
      <w:jc w:val="center"/>
      <w:rPr>
        <w:rStyle w:val="Pagenumber"/>
        <w:rFonts w:ascii="Tahoma" w:hAnsi="Tahoma" w:cs="Tahoma"/>
        <w:sz w:val="16"/>
        <w:szCs w:val="16"/>
      </w:rPr>
    </w:pPr>
    <w:r>
      <w:rPr>
        <w:rStyle w:val="Pagenumber"/>
        <w:rFonts w:cs="Tahoma" w:ascii="Tahoma" w:hAnsi="Tahoma"/>
        <w:sz w:val="16"/>
        <w:szCs w:val="16"/>
      </w:rPr>
      <w:t>Fone/Fax (027) 3727-1366 | E-mail: compras@saogabriel.es.gov.br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2">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pPr>
    <w:r>
      <w:rPr>
        <w:rFonts w:ascii="Verdana" w:hAnsi="Verdana"/>
        <w:sz w:val="26"/>
        <w:szCs w:val="26"/>
      </w:rPr>
      <w:t>PREFEITURA MUNICIPAL DE SÃO GABRIEL DA PALHA</w:t>
    </w:r>
    <w:r>
      <w:rPr>
        <w:rFonts w:ascii="Calibri" w:hAnsi="Calibri"/>
        <w:sz w:val="16"/>
        <w:szCs w:val="16"/>
      </w:rPr>
      <w:br/>
      <w:t>ESTADO DO ESPÍRITO SANTO</w:t>
    </w:r>
    <w:r>
      <w:rPr>
        <w:rFonts w:ascii="Verdana" w:hAnsi="Verdana"/>
        <w:b/>
        <w:sz w:val="22"/>
        <w:szCs w:val="22"/>
      </w:rPr>
      <w:t xml:space="preserve"> </w:t>
    </w:r>
    <w:r>
      <w:rPr>
        <w:rFonts w:ascii="Arial Narrow" w:hAnsi="Arial Narrow"/>
        <w:b/>
        <w:sz w:val="20"/>
      </w:rPr>
      <w:br/>
      <w:t>Departamento De Compras e Contratos</w:t>
    </w:r>
  </w:p>
  <w:p>
    <w:pPr>
      <w:pStyle w:val="Normal"/>
      <w:jc w:val="center"/>
      <w:rPr>
        <w:rFonts w:ascii="Arial Narrow" w:hAnsi="Arial Narrow"/>
        <w:b/>
        <w:sz w:val="20"/>
      </w:rPr>
    </w:pPr>
    <w:r>
      <w:rPr>
        <w:rFonts w:ascii="Arial Narrow" w:hAnsi="Arial Narrow"/>
        <w:b/>
        <w:sz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Wingdings" w:hAnsi="Wingdings" w:cs="Wingdings" w:hint="default"/>
        <w:sz w:val="14"/>
        <w:szCs w:val="14"/>
      </w:rPr>
    </w:lvl>
    <w:lvl w:ilvl="1">
      <w:start w:val="1"/>
      <w:numFmt w:val="bullet"/>
      <w:lvlText w:val=""/>
      <w:lvlJc w:val="left"/>
      <w:pPr>
        <w:tabs>
          <w:tab w:val="num" w:pos="1080"/>
        </w:tabs>
        <w:ind w:left="1080" w:hanging="360"/>
      </w:pPr>
      <w:rPr>
        <w:rFonts w:ascii="Wingdings" w:hAnsi="Wingdings" w:cs="Wingdings" w:hint="default"/>
        <w:sz w:val="14"/>
        <w:szCs w:val="14"/>
      </w:rPr>
    </w:lvl>
    <w:lvl w:ilvl="2">
      <w:start w:val="1"/>
      <w:numFmt w:val="bullet"/>
      <w:lvlText w:val=""/>
      <w:lvlJc w:val="left"/>
      <w:pPr>
        <w:tabs>
          <w:tab w:val="num" w:pos="1440"/>
        </w:tabs>
        <w:ind w:left="1440" w:hanging="360"/>
      </w:pPr>
      <w:rPr>
        <w:rFonts w:ascii="Wingdings" w:hAnsi="Wingdings" w:cs="Wingdings" w:hint="default"/>
        <w:sz w:val="14"/>
        <w:szCs w:val="14"/>
      </w:rPr>
    </w:lvl>
    <w:lvl w:ilvl="3">
      <w:start w:val="1"/>
      <w:numFmt w:val="bullet"/>
      <w:lvlText w:val=""/>
      <w:lvlJc w:val="left"/>
      <w:pPr>
        <w:tabs>
          <w:tab w:val="num" w:pos="1800"/>
        </w:tabs>
        <w:ind w:left="1800" w:hanging="360"/>
      </w:pPr>
      <w:rPr>
        <w:rFonts w:ascii="Wingdings" w:hAnsi="Wingdings" w:cs="Wingdings" w:hint="default"/>
        <w:sz w:val="14"/>
        <w:szCs w:val="14"/>
      </w:rPr>
    </w:lvl>
    <w:lvl w:ilvl="4">
      <w:start w:val="1"/>
      <w:numFmt w:val="bullet"/>
      <w:lvlText w:val=""/>
      <w:lvlJc w:val="left"/>
      <w:pPr>
        <w:tabs>
          <w:tab w:val="num" w:pos="2160"/>
        </w:tabs>
        <w:ind w:left="2160" w:hanging="360"/>
      </w:pPr>
      <w:rPr>
        <w:rFonts w:ascii="Wingdings" w:hAnsi="Wingdings" w:cs="Wingdings" w:hint="default"/>
        <w:sz w:val="14"/>
        <w:szCs w:val="14"/>
      </w:rPr>
    </w:lvl>
    <w:lvl w:ilvl="5">
      <w:start w:val="1"/>
      <w:numFmt w:val="bullet"/>
      <w:lvlText w:val=""/>
      <w:lvlJc w:val="left"/>
      <w:pPr>
        <w:tabs>
          <w:tab w:val="num" w:pos="2520"/>
        </w:tabs>
        <w:ind w:left="2520" w:hanging="360"/>
      </w:pPr>
      <w:rPr>
        <w:rFonts w:ascii="Wingdings" w:hAnsi="Wingdings" w:cs="Wingdings" w:hint="default"/>
        <w:sz w:val="14"/>
        <w:szCs w:val="14"/>
      </w:rPr>
    </w:lvl>
    <w:lvl w:ilvl="6">
      <w:start w:val="1"/>
      <w:numFmt w:val="bullet"/>
      <w:lvlText w:val=""/>
      <w:lvlJc w:val="left"/>
      <w:pPr>
        <w:tabs>
          <w:tab w:val="num" w:pos="2880"/>
        </w:tabs>
        <w:ind w:left="2880" w:hanging="360"/>
      </w:pPr>
      <w:rPr>
        <w:rFonts w:ascii="Wingdings" w:hAnsi="Wingdings" w:cs="Wingdings" w:hint="default"/>
        <w:sz w:val="14"/>
        <w:szCs w:val="14"/>
      </w:rPr>
    </w:lvl>
    <w:lvl w:ilvl="7">
      <w:start w:val="1"/>
      <w:numFmt w:val="bullet"/>
      <w:lvlText w:val=""/>
      <w:lvlJc w:val="left"/>
      <w:pPr>
        <w:tabs>
          <w:tab w:val="num" w:pos="3240"/>
        </w:tabs>
        <w:ind w:left="3240" w:hanging="360"/>
      </w:pPr>
      <w:rPr>
        <w:rFonts w:ascii="Wingdings" w:hAnsi="Wingdings" w:cs="Wingdings" w:hint="default"/>
        <w:sz w:val="14"/>
        <w:szCs w:val="14"/>
      </w:rPr>
    </w:lvl>
    <w:lvl w:ilvl="8">
      <w:start w:val="1"/>
      <w:numFmt w:val="bullet"/>
      <w:lvlText w:val=""/>
      <w:lvlJc w:val="left"/>
      <w:pPr>
        <w:tabs>
          <w:tab w:val="num" w:pos="3600"/>
        </w:tabs>
        <w:ind w:left="3600" w:hanging="360"/>
      </w:pPr>
      <w:rPr>
        <w:rFonts w:ascii="Wingdings" w:hAnsi="Wingdings" w:cs="Wingdings" w:hint="default"/>
        <w:sz w:val="14"/>
        <w:szCs w:val="14"/>
      </w:rPr>
    </w:lvl>
  </w:abstractNum>
  <w:abstractNum w:abstractNumId="2">
    <w:lvl w:ilvl="0">
      <w:start w:val="1"/>
      <w:numFmt w:val="bullet"/>
      <w:lvlText w:val=""/>
      <w:lvlJc w:val="left"/>
      <w:pPr>
        <w:tabs>
          <w:tab w:val="num" w:pos="720"/>
        </w:tabs>
        <w:ind w:left="720" w:hanging="360"/>
      </w:pPr>
      <w:rPr>
        <w:rFonts w:ascii="Wingdings" w:hAnsi="Wingdings" w:cs="Wingdings" w:hint="default"/>
        <w:sz w:val="14"/>
        <w:szCs w:val="14"/>
      </w:rPr>
    </w:lvl>
    <w:lvl w:ilvl="1">
      <w:start w:val="1"/>
      <w:numFmt w:val="bullet"/>
      <w:lvlText w:val=""/>
      <w:lvlJc w:val="left"/>
      <w:pPr>
        <w:tabs>
          <w:tab w:val="num" w:pos="1080"/>
        </w:tabs>
        <w:ind w:left="1080" w:hanging="360"/>
      </w:pPr>
      <w:rPr>
        <w:rFonts w:ascii="Symbol" w:hAnsi="Symbol" w:cs="Symbol" w:hint="default"/>
        <w:sz w:val="14"/>
        <w:szCs w:val="14"/>
      </w:rPr>
    </w:lvl>
    <w:lvl w:ilvl="2">
      <w:start w:val="1"/>
      <w:numFmt w:val="bullet"/>
      <w:lvlText w:val=""/>
      <w:lvlJc w:val="left"/>
      <w:pPr>
        <w:tabs>
          <w:tab w:val="num" w:pos="1440"/>
        </w:tabs>
        <w:ind w:left="1440" w:hanging="360"/>
      </w:pPr>
      <w:rPr>
        <w:rFonts w:ascii="Symbol" w:hAnsi="Symbol" w:cs="Symbol" w:hint="default"/>
        <w:sz w:val="14"/>
        <w:szCs w:val="14"/>
      </w:rPr>
    </w:lvl>
    <w:lvl w:ilvl="3">
      <w:start w:val="1"/>
      <w:numFmt w:val="bullet"/>
      <w:lvlText w:val=""/>
      <w:lvlJc w:val="left"/>
      <w:pPr>
        <w:tabs>
          <w:tab w:val="num" w:pos="1800"/>
        </w:tabs>
        <w:ind w:left="1800" w:hanging="360"/>
      </w:pPr>
      <w:rPr>
        <w:rFonts w:ascii="Symbol" w:hAnsi="Symbol" w:cs="Symbol" w:hint="default"/>
        <w:sz w:val="14"/>
        <w:szCs w:val="14"/>
      </w:rPr>
    </w:lvl>
    <w:lvl w:ilvl="4">
      <w:start w:val="1"/>
      <w:numFmt w:val="bullet"/>
      <w:lvlText w:val=""/>
      <w:lvlJc w:val="left"/>
      <w:pPr>
        <w:tabs>
          <w:tab w:val="num" w:pos="2160"/>
        </w:tabs>
        <w:ind w:left="2160" w:hanging="360"/>
      </w:pPr>
      <w:rPr>
        <w:rFonts w:ascii="Symbol" w:hAnsi="Symbol" w:cs="Symbol" w:hint="default"/>
        <w:sz w:val="14"/>
        <w:szCs w:val="14"/>
      </w:rPr>
    </w:lvl>
    <w:lvl w:ilvl="5">
      <w:start w:val="1"/>
      <w:numFmt w:val="bullet"/>
      <w:lvlText w:val=""/>
      <w:lvlJc w:val="left"/>
      <w:pPr>
        <w:tabs>
          <w:tab w:val="num" w:pos="2520"/>
        </w:tabs>
        <w:ind w:left="2520" w:hanging="360"/>
      </w:pPr>
      <w:rPr>
        <w:rFonts w:ascii="Symbol" w:hAnsi="Symbol" w:cs="Symbol" w:hint="default"/>
        <w:sz w:val="14"/>
        <w:szCs w:val="14"/>
      </w:rPr>
    </w:lvl>
    <w:lvl w:ilvl="6">
      <w:start w:val="1"/>
      <w:numFmt w:val="bullet"/>
      <w:lvlText w:val=""/>
      <w:lvlJc w:val="left"/>
      <w:pPr>
        <w:tabs>
          <w:tab w:val="num" w:pos="2880"/>
        </w:tabs>
        <w:ind w:left="2880" w:hanging="360"/>
      </w:pPr>
      <w:rPr>
        <w:rFonts w:ascii="Symbol" w:hAnsi="Symbol" w:cs="Symbol" w:hint="default"/>
        <w:sz w:val="14"/>
        <w:szCs w:val="14"/>
      </w:rPr>
    </w:lvl>
    <w:lvl w:ilvl="7">
      <w:start w:val="1"/>
      <w:numFmt w:val="bullet"/>
      <w:lvlText w:val=""/>
      <w:lvlJc w:val="left"/>
      <w:pPr>
        <w:tabs>
          <w:tab w:val="num" w:pos="3240"/>
        </w:tabs>
        <w:ind w:left="3240" w:hanging="360"/>
      </w:pPr>
      <w:rPr>
        <w:rFonts w:ascii="Symbol" w:hAnsi="Symbol" w:cs="Symbol" w:hint="default"/>
        <w:sz w:val="14"/>
        <w:szCs w:val="14"/>
      </w:rPr>
    </w:lvl>
    <w:lvl w:ilvl="8">
      <w:start w:val="1"/>
      <w:numFmt w:val="bullet"/>
      <w:lvlText w:val=""/>
      <w:lvlJc w:val="left"/>
      <w:pPr>
        <w:tabs>
          <w:tab w:val="num" w:pos="3600"/>
        </w:tabs>
        <w:ind w:left="3600" w:hanging="360"/>
      </w:pPr>
      <w:rPr>
        <w:rFonts w:ascii="Symbol" w:hAnsi="Symbol" w:cs="Symbol" w:hint="default"/>
        <w:sz w:val="14"/>
        <w:szCs w:val="14"/>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0"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2e18ec"/>
    <w:pPr>
      <w:widowControl/>
      <w:suppressAutoHyphens w:val="true"/>
      <w:bidi w:val="0"/>
      <w:spacing w:before="0" w:after="0"/>
      <w:jc w:val="left"/>
    </w:pPr>
    <w:rPr>
      <w:rFonts w:ascii="Times New Roman" w:hAnsi="Times New Roman" w:eastAsia="Times New Roman" w:cs="Times New Roman"/>
      <w:color w:val="auto"/>
      <w:kern w:val="0"/>
      <w:sz w:val="24"/>
      <w:szCs w:val="20"/>
      <w:lang w:val="pt-BR" w:eastAsia="pt-BR" w:bidi="ar-SA"/>
    </w:rPr>
  </w:style>
  <w:style w:type="paragraph" w:styleId="Heading1">
    <w:name w:val="Heading 1"/>
    <w:basedOn w:val="Normal"/>
    <w:next w:val="Normal"/>
    <w:link w:val="Ttulo1Char"/>
    <w:uiPriority w:val="9"/>
    <w:qFormat/>
    <w:rsid w:val="00537254"/>
    <w:pPr>
      <w:keepNext w:val="true"/>
      <w:keepLines/>
      <w:spacing w:before="480" w:after="0"/>
      <w:outlineLvl w:val="0"/>
    </w:pPr>
    <w:rPr>
      <w:rFonts w:ascii="Cambria" w:hAnsi="Cambria" w:eastAsia="" w:cs="" w:asciiTheme="majorHAnsi" w:cstheme="majorBidi" w:eastAsiaTheme="majorEastAsia" w:hAnsiTheme="majorHAnsi"/>
      <w:b/>
      <w:bCs/>
      <w:color w:themeColor="accent1" w:themeShade="bf" w:val="365F91"/>
      <w:sz w:val="28"/>
      <w:szCs w:val="28"/>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sid w:val="002e18ec"/>
    <w:rPr/>
  </w:style>
  <w:style w:type="character" w:styleId="CabealhoChar" w:customStyle="1">
    <w:name w:val="Cabeçalho Char"/>
    <w:basedOn w:val="DefaultParagraphFont"/>
    <w:qFormat/>
    <w:rsid w:val="002e18ec"/>
    <w:rPr>
      <w:rFonts w:ascii="Times New Roman" w:hAnsi="Times New Roman" w:eastAsia="Times New Roman" w:cs="Times New Roman"/>
      <w:sz w:val="24"/>
      <w:szCs w:val="20"/>
      <w:lang w:eastAsia="pt-BR"/>
    </w:rPr>
  </w:style>
  <w:style w:type="character" w:styleId="RodapChar" w:customStyle="1">
    <w:name w:val="Rodapé Char"/>
    <w:basedOn w:val="DefaultParagraphFont"/>
    <w:qFormat/>
    <w:rsid w:val="002e18ec"/>
    <w:rPr>
      <w:rFonts w:ascii="Times New Roman" w:hAnsi="Times New Roman" w:eastAsia="Times New Roman" w:cs="Times New Roman"/>
      <w:sz w:val="24"/>
      <w:szCs w:val="20"/>
      <w:lang w:eastAsia="pt-BR"/>
    </w:rPr>
  </w:style>
  <w:style w:type="character" w:styleId="A6" w:customStyle="1">
    <w:name w:val="A6"/>
    <w:qFormat/>
    <w:rPr>
      <w:color w:val="000000"/>
      <w:sz w:val="18"/>
      <w:u w:val="single"/>
    </w:rPr>
  </w:style>
  <w:style w:type="character" w:styleId="Hyperlink" w:customStyle="1">
    <w:name w:val="Hyperlink"/>
    <w:rPr>
      <w:color w:val="000080"/>
      <w:u w:val="single"/>
    </w:rPr>
  </w:style>
  <w:style w:type="character" w:styleId="CorpodetextoChar" w:customStyle="1">
    <w:name w:val="Corpo de texto Char"/>
    <w:basedOn w:val="DefaultParagraphFont"/>
    <w:qFormat/>
    <w:rsid w:val="004568f3"/>
    <w:rPr>
      <w:rFonts w:ascii="Times New Roman" w:hAnsi="Times New Roman" w:eastAsia="Times New Roman" w:cs="Times New Roman"/>
      <w:sz w:val="24"/>
      <w:szCs w:val="20"/>
      <w:lang w:eastAsia="pt-BR"/>
    </w:rPr>
  </w:style>
  <w:style w:type="character" w:styleId="CitaoChar" w:customStyle="1">
    <w:name w:val="Citação Char"/>
    <w:basedOn w:val="DefaultParagraphFont"/>
    <w:qFormat/>
    <w:rsid w:val="00537254"/>
    <w:rPr>
      <w:rFonts w:ascii="Arial" w:hAnsi="Arial" w:eastAsia="Calibri" w:cs="Tahoma"/>
      <w:i/>
      <w:iCs/>
      <w:color w:val="000000"/>
      <w:sz w:val="20"/>
      <w:szCs w:val="24"/>
      <w:shd w:fill="FFFFCC" w:val="clear"/>
    </w:rPr>
  </w:style>
  <w:style w:type="character" w:styleId="Nivel1Char" w:customStyle="1">
    <w:name w:val="Nivel1 Char"/>
    <w:basedOn w:val="DefaultParagraphFont"/>
    <w:link w:val="Nivel1"/>
    <w:qFormat/>
    <w:locked/>
    <w:rsid w:val="00537254"/>
    <w:rPr>
      <w:rFonts w:ascii="Arial" w:hAnsi="Arial" w:eastAsia="" w:cs="Arial" w:eastAsiaTheme="majorEastAsia"/>
      <w:b/>
      <w:color w:val="000000"/>
      <w:sz w:val="32"/>
      <w:szCs w:val="32"/>
    </w:rPr>
  </w:style>
  <w:style w:type="character" w:styleId="Nivel2Char" w:customStyle="1">
    <w:name w:val="Nivel 2 Char"/>
    <w:basedOn w:val="DefaultParagraphFont"/>
    <w:link w:val="Nivel2"/>
    <w:qFormat/>
    <w:locked/>
    <w:rsid w:val="00537254"/>
    <w:rPr>
      <w:rFonts w:ascii="Arial" w:hAnsi="Arial" w:cs="Arial"/>
      <w:color w:val="000000"/>
    </w:rPr>
  </w:style>
  <w:style w:type="character" w:styleId="Strong">
    <w:name w:val="Strong"/>
    <w:qFormat/>
    <w:rPr>
      <w:b/>
      <w:bCs/>
    </w:rPr>
  </w:style>
  <w:style w:type="character" w:styleId="Ttulo1Char" w:customStyle="1">
    <w:name w:val="Título 1 Char"/>
    <w:basedOn w:val="DefaultParagraphFont"/>
    <w:uiPriority w:val="9"/>
    <w:qFormat/>
    <w:rsid w:val="00537254"/>
    <w:rPr>
      <w:rFonts w:ascii="Cambria" w:hAnsi="Cambria" w:eastAsia="" w:cs="" w:asciiTheme="majorHAnsi" w:cstheme="majorBidi" w:eastAsiaTheme="majorEastAsia" w:hAnsiTheme="majorHAnsi"/>
      <w:b/>
      <w:bCs/>
      <w:color w:themeColor="accent1" w:themeShade="bf" w:val="365F91"/>
      <w:sz w:val="28"/>
      <w:szCs w:val="28"/>
      <w:lang w:eastAsia="pt-BR"/>
    </w:rPr>
  </w:style>
  <w:style w:type="character" w:styleId="Scayt-misspell-word">
    <w:name w:val="scayt-misspell-word"/>
    <w:qFormat/>
    <w:rPr/>
  </w:style>
  <w:style w:type="character" w:styleId="Apple-converted-space">
    <w:name w:val="apple-converted-space"/>
    <w:qFormat/>
    <w:rPr/>
  </w:style>
  <w:style w:type="character" w:styleId="QuoteChar">
    <w:name w:val="Quote Char"/>
    <w:qFormat/>
    <w:rPr>
      <w:rFonts w:ascii="Ecofont_Spranq_eco_Sans" w:hAnsi="Ecofont_Spranq_eco_Sans" w:cs="Ecofont_Spranq_eco_Sans"/>
      <w:i/>
      <w:iCs/>
      <w:color w:val="000000"/>
      <w:sz w:val="24"/>
      <w:szCs w:val="24"/>
      <w:shd w:fill="FFFFCC" w:val="clear"/>
      <w:lang w:eastAsia="en-US"/>
    </w:rPr>
  </w:style>
  <w:style w:type="character" w:styleId="Nivel01Char">
    <w:name w:val="Nivel_01 Char"/>
    <w:qFormat/>
    <w:rPr>
      <w:rFonts w:ascii="Ecofont_Spranq_eco_Sans" w:hAnsi="Ecofont_Spranq_eco_Sans" w:eastAsia="ＭＳ ゴシック" w:cs="Times New Roman"/>
      <w:b/>
      <w:bCs/>
      <w:color w:val="365F91"/>
      <w:sz w:val="32"/>
      <w:szCs w:val="32"/>
    </w:rPr>
  </w:style>
  <w:style w:type="character" w:styleId="Nivel01Char1">
    <w:name w:val="Nivel 01 Char"/>
    <w:qFormat/>
    <w:rPr>
      <w:rFonts w:ascii="Ecofont_Spranq_eco_Sans" w:hAnsi="Ecofont_Spranq_eco_Sans" w:eastAsia="ＭＳ ゴシック"/>
      <w:b/>
      <w:bCs/>
      <w:color w:val="000000"/>
    </w:rPr>
  </w:style>
  <w:style w:type="character" w:styleId="AssuntodocomentrioChar">
    <w:name w:val="Assunto do comentário Char"/>
    <w:qFormat/>
    <w:rPr>
      <w:rFonts w:ascii="Arial" w:hAnsi="Arial" w:cs="Tahoma"/>
      <w:b/>
      <w:bCs/>
    </w:rPr>
  </w:style>
  <w:style w:type="character" w:styleId="TextodecomentrioChar">
    <w:name w:val="Texto de comentário Char"/>
    <w:qFormat/>
    <w:rPr>
      <w:rFonts w:ascii="Arial" w:hAnsi="Arial" w:cs="Tahoma"/>
    </w:rPr>
  </w:style>
  <w:style w:type="character" w:styleId="Annotationreference">
    <w:name w:val="annotation reference"/>
    <w:qFormat/>
    <w:rPr>
      <w:sz w:val="18"/>
      <w:szCs w:val="18"/>
    </w:rPr>
  </w:style>
  <w:style w:type="character" w:styleId="GradeColorida-nfase1Char">
    <w:name w:val="Grade Colorida - Ênfase 1 Char"/>
    <w:qFormat/>
    <w:rPr>
      <w:rFonts w:ascii="Ecofont_Spranq_eco_Sans" w:hAnsi="Ecofont_Spranq_eco_Sans" w:eastAsia="Calibri"/>
      <w:i/>
      <w:iCs/>
      <w:color w:val="000000"/>
      <w:szCs w:val="24"/>
      <w:shd w:fill="FFFFCC" w:val="clear"/>
      <w:lang w:val="x-none" w:eastAsia="en-US"/>
    </w:rPr>
  </w:style>
  <w:style w:type="character" w:styleId="Citao2Char">
    <w:name w:val="citação 2 Char"/>
    <w:qFormat/>
    <w:rPr>
      <w:rFonts w:ascii="Ecofont_Spranq_eco_Sans" w:hAnsi="Ecofont_Spranq_eco_Sans" w:eastAsia="Calibri" w:cs="Tahoma"/>
      <w:i/>
      <w:iCs/>
      <w:color w:val="000000"/>
      <w:shd w:fill="FFFFCC" w:val="clear"/>
      <w:lang w:eastAsia="en-US"/>
    </w:rPr>
  </w:style>
  <w:style w:type="character" w:styleId="Apple-style-span">
    <w:name w:val="apple-style-span"/>
    <w:qFormat/>
    <w:rPr/>
  </w:style>
  <w:style w:type="character" w:styleId="Normalchar1">
    <w:name w:val="normal__char1"/>
    <w:qFormat/>
    <w:rPr>
      <w:rFonts w:ascii="Arial" w:hAnsi="Arial" w:cs="Arial"/>
      <w:strike w:val="false"/>
      <w:dstrike w:val="false"/>
      <w:sz w:val="24"/>
      <w:szCs w:val="24"/>
      <w:u w:val="none"/>
      <w:effect w:val="none"/>
    </w:rPr>
  </w:style>
  <w:style w:type="character" w:styleId="Ttulo2Char">
    <w:name w:val="Título 2 Char"/>
    <w:qFormat/>
    <w:rPr>
      <w:b/>
      <w:color w:val="000000"/>
      <w:sz w:val="24"/>
    </w:rPr>
  </w:style>
  <w:style w:type="character" w:styleId="TextodebaloChar">
    <w:name w:val="Texto de balão Char"/>
    <w:qFormat/>
    <w:rPr>
      <w:rFonts w:ascii="Tahoma" w:hAnsi="Tahoma" w:cs="Tahoma"/>
      <w:sz w:val="16"/>
      <w:szCs w:val="16"/>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Ttulo3Char">
    <w:name w:val="Título 3 Char"/>
    <w:qFormat/>
    <w:rPr>
      <w:rFonts w:ascii="Arial" w:hAnsi="Arial" w:eastAsia="Times New Roman" w:cs="Arial"/>
      <w:b/>
      <w:bCs/>
      <w:sz w:val="26"/>
      <w:szCs w:val="26"/>
    </w:rPr>
  </w:style>
  <w:style w:type="character" w:styleId="Ttulo7Char">
    <w:name w:val="Título 7 Char"/>
    <w:qFormat/>
    <w:rPr>
      <w:rFonts w:ascii="Cambria" w:hAnsi="Cambria" w:eastAsia="Calibri" w:cs="Tahoma"/>
      <w:i/>
      <w:iCs/>
      <w:color w:val="404040"/>
      <w:sz w:val="24"/>
      <w:szCs w:val="24"/>
    </w:rPr>
  </w:style>
  <w:style w:type="character" w:styleId="NormalWebChar">
    <w:name w:val="Normal (Web) Char"/>
    <w:qFormat/>
    <w:rPr>
      <w:rFonts w:ascii="Times New Roman" w:hAnsi="Times New Roman" w:eastAsia="Times New Roman" w:cs="Times New Roman"/>
      <w:sz w:val="24"/>
      <w:szCs w:val="24"/>
    </w:rPr>
  </w:style>
  <w:style w:type="character" w:styleId="PargrafoNormalChar">
    <w:name w:val="Parágrafo Normal Char"/>
    <w:qFormat/>
    <w:rPr>
      <w:rFonts w:ascii="Times New Roman" w:hAnsi="Times New Roman" w:eastAsia="Times New Roman" w:cs="Times New Roman"/>
      <w:sz w:val="24"/>
      <w:szCs w:val="24"/>
    </w:rPr>
  </w:style>
  <w:style w:type="character" w:styleId="Hyperlink1">
    <w:name w:val="Hyperlink1"/>
    <w:qFormat/>
    <w:rPr>
      <w:color w:val="000080"/>
      <w:u w:val="single"/>
    </w:rPr>
  </w:style>
  <w:style w:type="character" w:styleId="Fontecinza1">
    <w:name w:val="fonte_cinza1"/>
    <w:qFormat/>
    <w:rPr>
      <w:rFonts w:ascii="Verdana" w:hAnsi="Verdana" w:cs="Verdana"/>
      <w:color w:val="333333"/>
      <w:sz w:val="15"/>
      <w:szCs w:val="15"/>
    </w:rPr>
  </w:style>
  <w:style w:type="character" w:styleId="Fontepargpadro">
    <w:name w:val="Fonte parág. padrão"/>
    <w:qFormat/>
    <w:rPr/>
  </w:style>
  <w:style w:type="character" w:styleId="WW8Num6z1">
    <w:name w:val="WW8Num6z1"/>
    <w:qFormat/>
    <w:rPr>
      <w:rFonts w:ascii="Courier New" w:hAnsi="Courier New" w:cs="Courier New"/>
    </w:rPr>
  </w:style>
  <w:style w:type="character" w:styleId="WW8Num5z1">
    <w:name w:val="WW8Num5z1"/>
    <w:qFormat/>
    <w:rPr>
      <w:rFonts w:ascii="Courier New" w:hAnsi="Courier New" w:cs="Courier New"/>
    </w:rPr>
  </w:style>
  <w:style w:type="character" w:styleId="WW8Num4z1">
    <w:name w:val="WW8Num4z1"/>
    <w:qFormat/>
    <w:rPr>
      <w:rFonts w:ascii="Courier New" w:hAnsi="Courier New" w:cs="Courier New"/>
    </w:rPr>
  </w:style>
  <w:style w:type="character" w:styleId="WW8Num3z1">
    <w:name w:val="WW8Num3z1"/>
    <w:qFormat/>
    <w:rPr>
      <w:rFonts w:ascii="Courier New" w:hAnsi="Courier New" w:cs="Courier New"/>
    </w:rPr>
  </w:style>
  <w:style w:type="character" w:styleId="WW8Num2z1">
    <w:name w:val="WW8Num2z1"/>
    <w:qFormat/>
    <w:rPr>
      <w:rFonts w:ascii="Courier New" w:hAnsi="Courier New" w:cs="Courier New"/>
    </w:rPr>
  </w:style>
  <w:style w:type="character" w:styleId="WW8Num1z1">
    <w:name w:val="WW8Num1z1"/>
    <w:qFormat/>
    <w:rPr>
      <w:rFonts w:ascii="Courier New" w:hAnsi="Courier New" w:cs="Courier New"/>
    </w:rPr>
  </w:style>
  <w:style w:type="character" w:styleId="Marcadores">
    <w:name w:val="Marcadores"/>
    <w:qFormat/>
    <w:rPr>
      <w:rFonts w:ascii="OpenSymbol" w:hAnsi="OpenSymbol" w:eastAsia="OpenSymbol" w:cs="OpenSymbol"/>
      <w:sz w:val="14"/>
      <w:szCs w:val="14"/>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detextoChar"/>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Lucida Sans"/>
    </w:rPr>
  </w:style>
  <w:style w:type="paragraph" w:styleId="Title">
    <w:name w:val="Title"/>
    <w:basedOn w:val="Normal"/>
    <w:next w:val="BodyText"/>
    <w:qFormat/>
    <w:pPr>
      <w:keepNext w:val="true"/>
      <w:spacing w:before="240" w:after="120"/>
    </w:pPr>
    <w:rPr>
      <w:rFonts w:ascii="Liberation Sans" w:hAnsi="Liberation Sans" w:eastAsia="Microsoft YaHei" w:cs="Lucida Sans"/>
      <w:sz w:val="28"/>
      <w:szCs w:val="28"/>
    </w:rPr>
  </w:style>
  <w:style w:type="paragraph" w:styleId="Caption1">
    <w:name w:val="caption1"/>
    <w:basedOn w:val="Normal"/>
    <w:qFormat/>
    <w:pPr>
      <w:suppressLineNumbers/>
      <w:spacing w:before="120" w:after="120"/>
    </w:pPr>
    <w:rPr>
      <w:rFonts w:cs="Lucida Sans"/>
      <w:i/>
      <w:iCs/>
      <w:szCs w:val="24"/>
    </w:rPr>
  </w:style>
  <w:style w:type="paragraph" w:styleId="CabealhoeRodap" w:customStyle="1">
    <w:name w:val="Cabeçalho e Rodapé"/>
    <w:basedOn w:val="Normal"/>
    <w:qFormat/>
    <w:pPr/>
    <w:rPr/>
  </w:style>
  <w:style w:type="paragraph" w:styleId="Header">
    <w:name w:val="Header"/>
    <w:basedOn w:val="Normal"/>
    <w:link w:val="CabealhoChar"/>
    <w:rsid w:val="002e18ec"/>
    <w:pPr>
      <w:tabs>
        <w:tab w:val="clear" w:pos="708"/>
        <w:tab w:val="center" w:pos="4419" w:leader="none"/>
        <w:tab w:val="right" w:pos="8838" w:leader="none"/>
      </w:tabs>
    </w:pPr>
    <w:rPr/>
  </w:style>
  <w:style w:type="paragraph" w:styleId="Footer">
    <w:name w:val="Footer"/>
    <w:basedOn w:val="Normal"/>
    <w:link w:val="RodapChar"/>
    <w:rsid w:val="002e18ec"/>
    <w:pPr>
      <w:tabs>
        <w:tab w:val="clear" w:pos="708"/>
        <w:tab w:val="center" w:pos="4419" w:leader="none"/>
        <w:tab w:val="right" w:pos="8838" w:leader="none"/>
      </w:tabs>
    </w:pPr>
    <w:rPr/>
  </w:style>
  <w:style w:type="paragraph" w:styleId="ListParagraph">
    <w:name w:val="List Paragraph"/>
    <w:basedOn w:val="Normal"/>
    <w:uiPriority w:val="34"/>
    <w:qFormat/>
    <w:rsid w:val="007a2726"/>
    <w:pPr>
      <w:spacing w:before="0" w:after="0"/>
      <w:ind w:hanging="0" w:left="720"/>
      <w:contextualSpacing/>
    </w:pPr>
    <w:rPr/>
  </w:style>
  <w:style w:type="paragraph" w:styleId="Tabelanormal1" w:customStyle="1">
    <w:name w:val="Tabela normal1"/>
    <w:qFormat/>
    <w:pPr>
      <w:widowControl/>
      <w:suppressAutoHyphens w:val="true"/>
      <w:bidi w:val="0"/>
      <w:spacing w:lineRule="auto" w:line="276" w:before="0" w:after="200"/>
      <w:jc w:val="left"/>
    </w:pPr>
    <w:rPr>
      <w:rFonts w:ascii="Times New Roman" w:hAnsi="Times New Roman" w:eastAsia="Tahoma" w:cs="Times New Roman"/>
      <w:color w:val="auto"/>
      <w:kern w:val="0"/>
      <w:sz w:val="20"/>
      <w:szCs w:val="20"/>
      <w:lang w:val="pt-BR" w:eastAsia="pt-BR" w:bidi="ar-SA"/>
    </w:rPr>
  </w:style>
  <w:style w:type="paragraph" w:styleId="Quote">
    <w:name w:val="Quote"/>
    <w:basedOn w:val="Normal"/>
    <w:next w:val="Normal"/>
    <w:link w:val="CitaoChar"/>
    <w:qFormat/>
    <w:rsid w:val="00537254"/>
    <w:pPr>
      <w:pBdr>
        <w:top w:val="single" w:sz="4" w:space="1" w:color="1F497D"/>
        <w:left w:val="single" w:sz="4" w:space="4" w:color="1F497D"/>
        <w:bottom w:val="single" w:sz="4" w:space="1" w:color="1F497D"/>
        <w:right w:val="single" w:sz="4" w:space="4" w:color="1F497D"/>
      </w:pBdr>
      <w:shd w:val="clear" w:color="auto" w:fill="FFFFCC"/>
      <w:suppressAutoHyphens w:val="false"/>
      <w:spacing w:before="120" w:after="0"/>
      <w:jc w:val="both"/>
    </w:pPr>
    <w:rPr>
      <w:rFonts w:ascii="Arial" w:hAnsi="Arial" w:eastAsia="Calibri" w:cs="Tahoma"/>
      <w:i/>
      <w:iCs/>
      <w:color w:val="000000"/>
      <w:sz w:val="20"/>
      <w:szCs w:val="24"/>
      <w:lang w:eastAsia="en-US"/>
    </w:rPr>
  </w:style>
  <w:style w:type="paragraph" w:styleId="Nivel1" w:customStyle="1">
    <w:name w:val="Nivel1"/>
    <w:basedOn w:val="Heading1"/>
    <w:next w:val="Normal"/>
    <w:link w:val="Nivel1Char"/>
    <w:qFormat/>
    <w:rsid w:val="00537254"/>
    <w:pPr>
      <w:suppressAutoHyphens w:val="false"/>
      <w:spacing w:lineRule="auto" w:line="276" w:before="480" w:after="120"/>
      <w:jc w:val="both"/>
      <w:outlineLvl w:val="9"/>
    </w:pPr>
    <w:rPr>
      <w:rFonts w:ascii="Arial" w:hAnsi="Arial" w:cs="Arial"/>
      <w:bCs w:val="false"/>
      <w:color w:themeColor="accent1" w:themeShade="bf" w:val="000000"/>
      <w:sz w:val="32"/>
      <w:szCs w:val="32"/>
      <w:lang w:eastAsia="en-US"/>
    </w:rPr>
  </w:style>
  <w:style w:type="paragraph" w:styleId="Standard" w:customStyle="1">
    <w:name w:val="Standard"/>
    <w:qFormat/>
    <w:rsid w:val="00537254"/>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Citao2" w:customStyle="1">
    <w:name w:val="citação 2"/>
    <w:basedOn w:val="Quote"/>
    <w:qFormat/>
    <w:rsid w:val="00537254"/>
    <w:pPr>
      <w:suppressAutoHyphens w:val="true"/>
    </w:pPr>
    <w:rPr>
      <w:kern w:val="2"/>
      <w:szCs w:val="20"/>
      <w:lang w:eastAsia="zh-CN" w:bidi="hi-IN"/>
    </w:rPr>
  </w:style>
  <w:style w:type="paragraph" w:styleId="Nivel2" w:customStyle="1">
    <w:name w:val="Nivel 2"/>
    <w:basedOn w:val="Normal"/>
    <w:link w:val="Nivel2Char"/>
    <w:qFormat/>
    <w:rsid w:val="00537254"/>
    <w:pPr>
      <w:suppressAutoHyphens w:val="false"/>
      <w:spacing w:lineRule="auto" w:line="276" w:before="120" w:after="120"/>
      <w:jc w:val="both"/>
    </w:pPr>
    <w:rPr>
      <w:rFonts w:ascii="Arial" w:hAnsi="Arial" w:eastAsia="Calibri" w:cs="Arial" w:eastAsiaTheme="minorHAnsi"/>
      <w:color w:val="000000"/>
      <w:sz w:val="22"/>
      <w:szCs w:val="22"/>
      <w:lang w:eastAsia="en-US"/>
    </w:rPr>
  </w:style>
  <w:style w:type="paragraph" w:styleId="Nivel3" w:customStyle="1">
    <w:name w:val="Nivel 3"/>
    <w:basedOn w:val="ListParagraph"/>
    <w:qFormat/>
    <w:rsid w:val="00537254"/>
    <w:pPr>
      <w:tabs>
        <w:tab w:val="clear" w:pos="708"/>
        <w:tab w:val="left" w:pos="360" w:leader="none"/>
      </w:tabs>
      <w:suppressAutoHyphens w:val="false"/>
      <w:spacing w:lineRule="auto" w:line="276" w:before="120" w:after="120"/>
      <w:ind w:hanging="0" w:left="425"/>
      <w:contextualSpacing/>
      <w:jc w:val="both"/>
    </w:pPr>
    <w:rPr>
      <w:rFonts w:ascii="Arial" w:hAnsi="Arial" w:cs="Arial"/>
      <w:sz w:val="20"/>
    </w:rPr>
  </w:style>
  <w:style w:type="paragraph" w:styleId="TableParagraph">
    <w:name w:val="Table Paragraph"/>
    <w:basedOn w:val="Normal"/>
    <w:qFormat/>
    <w:pPr>
      <w:widowControl w:val="false"/>
      <w:suppressAutoHyphens w:val="false"/>
    </w:pPr>
    <w:rPr>
      <w:rFonts w:ascii="Calibri" w:hAnsi="Calibri" w:eastAsia="Calibri" w:cs="Calibri"/>
      <w:sz w:val="22"/>
      <w:szCs w:val="22"/>
      <w:lang w:val="pt-PT" w:eastAsia="en-US"/>
    </w:rPr>
  </w:style>
  <w:style w:type="paragraph" w:styleId="PADRO">
    <w:name w:val="PADRÃO"/>
    <w:qFormat/>
    <w:pPr>
      <w:keepNext w:val="true"/>
      <w:widowControl w:val="false"/>
      <w:shd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Default">
    <w:name w:val="Default"/>
    <w:qFormat/>
    <w:pPr>
      <w:widowControl/>
      <w:suppressAutoHyphens w:val="tru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PargrafodaLista">
    <w:name w:val="Parágrafo da Lista"/>
    <w:basedOn w:val="Normal"/>
    <w:qFormat/>
    <w:pPr>
      <w:spacing w:lineRule="auto" w:line="276" w:before="0" w:after="200"/>
      <w:ind w:hanging="0" w:left="720"/>
      <w:contextualSpacing/>
    </w:pPr>
    <w:rPr>
      <w:rFonts w:ascii="Calibri" w:hAnsi="Calibri" w:eastAsia="Calibri" w:cs="Calibri"/>
      <w:sz w:val="22"/>
      <w:szCs w:val="22"/>
    </w:rPr>
  </w:style>
  <w:style w:type="paragraph" w:styleId="Citao1">
    <w:name w:val="Citação1"/>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ascii="Ecofont_Spranq_eco_Sans" w:hAnsi="Ecofont_Spranq_eco_Sans" w:cs="Ecofont_Spranq_eco_Sans"/>
      <w:i/>
      <w:iCs/>
      <w:color w:val="000000"/>
      <w:shd w:fill="FFFFCC" w:val="clear"/>
      <w:lang w:eastAsia="en-US"/>
    </w:rPr>
  </w:style>
  <w:style w:type="paragraph" w:styleId="Nivel5">
    <w:name w:val="Nivel 5"/>
    <w:qFormat/>
    <w:pPr>
      <w:widowControl/>
      <w:tabs>
        <w:tab w:val="clear" w:pos="708"/>
        <w:tab w:val="left" w:pos="360" w:leader="none"/>
      </w:tabs>
      <w:suppressAutoHyphens w:val="true"/>
      <w:bidi w:val="0"/>
      <w:spacing w:lineRule="auto" w:line="276" w:before="120" w:after="120"/>
      <w:ind w:hanging="0" w:left="3485"/>
      <w:jc w:val="both"/>
    </w:pPr>
    <w:rPr>
      <w:rFonts w:ascii="Ecofont_Spranq_eco_Sans" w:hAnsi="Ecofont_Spranq_eco_Sans" w:eastAsia="Arial Unicode MS" w:cs="Arial"/>
      <w:color w:val="auto"/>
      <w:kern w:val="0"/>
      <w:sz w:val="22"/>
      <w:szCs w:val="22"/>
      <w:lang w:val="pt-BR" w:eastAsia="en-US" w:bidi="ar-SA"/>
    </w:rPr>
  </w:style>
  <w:style w:type="paragraph" w:styleId="Nivel4">
    <w:name w:val="Nivel 4"/>
    <w:qFormat/>
    <w:pPr>
      <w:widowControl/>
      <w:tabs>
        <w:tab w:val="clear" w:pos="708"/>
        <w:tab w:val="left" w:pos="360" w:leader="none"/>
      </w:tabs>
      <w:suppressAutoHyphens w:val="true"/>
      <w:bidi w:val="0"/>
      <w:spacing w:lineRule="auto" w:line="276" w:before="120" w:after="120"/>
      <w:ind w:hanging="0" w:left="2491"/>
      <w:jc w:val="both"/>
    </w:pPr>
    <w:rPr>
      <w:rFonts w:ascii="Ecofont_Spranq_eco_Sans" w:hAnsi="Ecofont_Spranq_eco_Sans" w:eastAsia="Arial Unicode MS" w:cs="Arial"/>
      <w:color w:val="auto"/>
      <w:kern w:val="0"/>
      <w:sz w:val="22"/>
      <w:szCs w:val="22"/>
      <w:lang w:val="pt-BR" w:eastAsia="en-US" w:bidi="ar-SA"/>
    </w:rPr>
  </w:style>
  <w:style w:type="paragraph" w:styleId="Nivel11">
    <w:name w:val="Nivel 1"/>
    <w:qFormat/>
    <w:pPr>
      <w:widowControl/>
      <w:tabs>
        <w:tab w:val="clear" w:pos="708"/>
        <w:tab w:val="left" w:pos="360" w:leader="none"/>
      </w:tabs>
      <w:suppressAutoHyphens w:val="true"/>
      <w:bidi w:val="0"/>
      <w:spacing w:lineRule="auto" w:line="276" w:before="120" w:after="120"/>
      <w:ind w:hanging="432" w:left="644"/>
      <w:jc w:val="both"/>
    </w:pPr>
    <w:rPr>
      <w:rFonts w:ascii="Ecofont_Spranq_eco_Sans" w:hAnsi="Ecofont_Spranq_eco_Sans" w:eastAsia="Arial Unicode MS" w:cs="Arial"/>
      <w:b/>
      <w:color w:val="auto"/>
      <w:kern w:val="0"/>
      <w:sz w:val="22"/>
      <w:szCs w:val="22"/>
      <w:lang w:val="pt-BR" w:eastAsia="en-US" w:bidi="ar-SA"/>
    </w:rPr>
  </w:style>
  <w:style w:type="paragraph" w:styleId="PargrafodaLista1">
    <w:name w:val="Parágrafo da Lista1"/>
    <w:basedOn w:val="Normal"/>
    <w:qFormat/>
    <w:pPr>
      <w:ind w:hanging="0" w:left="720"/>
    </w:pPr>
    <w:rPr>
      <w:rFonts w:ascii="Ecofont_Spranq_eco_Sans" w:hAnsi="Ecofont_Spranq_eco_Sans" w:cs="Ecofont_Spranq_eco_Sans"/>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fill="FFFFCC"/>
      <w:spacing w:before="120" w:after="0"/>
      <w:jc w:val="both"/>
    </w:pPr>
    <w:rPr>
      <w:rFonts w:ascii="Ecofont_Spranq_eco_Sans" w:hAnsi="Ecofont_Spranq_eco_Sans" w:eastAsia="Calibri"/>
      <w:i/>
      <w:iCs/>
      <w:color w:val="000000"/>
    </w:rPr>
  </w:style>
  <w:style w:type="paragraph" w:styleId="Nivel01">
    <w:name w:val="Nivel_01"/>
    <w:basedOn w:val="Heading1"/>
    <w:qFormat/>
    <w:pPr>
      <w:keepNext w:val="true"/>
      <w:keepLines/>
      <w:tabs>
        <w:tab w:val="clear" w:pos="708"/>
        <w:tab w:val="left" w:pos="567" w:leader="none"/>
      </w:tabs>
      <w:spacing w:before="240" w:after="0"/>
      <w:jc w:val="both"/>
      <w:outlineLvl w:val="9"/>
    </w:pPr>
    <w:rPr>
      <w:rFonts w:ascii="Ecofont_Spranq_eco_Sans" w:hAnsi="Ecofont_Spranq_eco_Sans" w:eastAsia="ＭＳ ゴシック" w:cs="Times New Roman"/>
      <w:b/>
      <w:bCs/>
      <w:color w:themeColor="accent1" w:themeShade="bf" w:val="365F91"/>
      <w:sz w:val="20"/>
      <w:szCs w:val="20"/>
    </w:rPr>
  </w:style>
  <w:style w:type="paragraph" w:styleId="Nivel011">
    <w:name w:val="Nivel 01"/>
    <w:basedOn w:val="Heading1"/>
    <w:qFormat/>
    <w:pPr>
      <w:keepNext w:val="true"/>
      <w:keepLines/>
      <w:tabs>
        <w:tab w:val="clear" w:pos="708"/>
        <w:tab w:val="left" w:pos="567" w:leader="none"/>
      </w:tabs>
      <w:spacing w:before="240" w:after="0"/>
      <w:jc w:val="both"/>
      <w:outlineLvl w:val="9"/>
    </w:pPr>
    <w:rPr>
      <w:rFonts w:ascii="Ecofont_Spranq_eco_Sans" w:hAnsi="Ecofont_Spranq_eco_Sans" w:eastAsia="ＭＳ ゴシック" w:cs="Times New Roman"/>
      <w:b/>
      <w:bCs/>
      <w:color w:themeColor="accent1" w:themeShade="bf" w:val="000000"/>
      <w:sz w:val="20"/>
      <w:szCs w:val="20"/>
    </w:rPr>
  </w:style>
  <w:style w:type="paragraph" w:styleId="Annotationsubject">
    <w:name w:val="annotation subject"/>
    <w:qFormat/>
    <w:pPr>
      <w:widowControl/>
      <w:suppressAutoHyphens w:val="true"/>
      <w:bidi w:val="0"/>
      <w:spacing w:before="0" w:after="0"/>
      <w:jc w:val="left"/>
    </w:pPr>
    <w:rPr>
      <w:rFonts w:ascii="Calibri" w:hAnsi="Calibri" w:eastAsia="Calibri" w:cs="0"/>
      <w:b/>
      <w:bCs/>
      <w:color w:val="auto"/>
      <w:kern w:val="0"/>
      <w:sz w:val="20"/>
      <w:szCs w:val="20"/>
      <w:lang w:val="pt-BR" w:eastAsia="en-US" w:bidi="ar-SA"/>
    </w:rPr>
  </w:style>
  <w:style w:type="paragraph" w:styleId="Annotationtext">
    <w:name w:val="annotation text"/>
    <w:basedOn w:val="Normal"/>
    <w:qFormat/>
    <w:pPr/>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Calibri" w:cs="Times New Roman"/>
      <w:i/>
      <w:iCs/>
      <w:color w:val="000000"/>
      <w:lang w:val="x-none" w:eastAsia="en-US"/>
    </w:rPr>
  </w:style>
  <w:style w:type="paragraph" w:styleId="ListBullet5">
    <w:name w:val="List Bullet 5"/>
    <w:basedOn w:val="Normal"/>
    <w:qFormat/>
    <w:pPr>
      <w:spacing w:before="0" w:after="0"/>
      <w:contextualSpacing/>
    </w:pPr>
    <w:rPr/>
  </w:style>
  <w:style w:type="paragraph" w:styleId="Nvel2">
    <w:name w:val="Nível 2"/>
    <w:basedOn w:val="Normal"/>
    <w:qFormat/>
    <w:pPr>
      <w:spacing w:before="0" w:after="120"/>
      <w:jc w:val="both"/>
    </w:pPr>
    <w:rPr>
      <w:rFonts w:cs="Times New Roman"/>
      <w:b/>
      <w:szCs w:val="20"/>
    </w:rPr>
  </w:style>
  <w:style w:type="paragraph" w:styleId="BalloonText">
    <w:name w:val="Balloon Text"/>
    <w:basedOn w:val="Normal"/>
    <w:qFormat/>
    <w:pPr/>
    <w:rPr>
      <w:rFonts w:ascii="Tahoma" w:hAnsi="Tahoma"/>
      <w:sz w:val="16"/>
      <w:szCs w:val="16"/>
    </w:rPr>
  </w:style>
  <w:style w:type="paragraph" w:styleId="NormalWeb">
    <w:name w:val="Normal (Web)"/>
    <w:basedOn w:val="Normal"/>
    <w:qFormat/>
    <w:pPr>
      <w:spacing w:beforeAutospacing="1" w:afterAutospacing="1"/>
    </w:pPr>
    <w:rPr>
      <w:rFonts w:ascii="Times New Roman" w:hAnsi="Times New Roman" w:cs="Times New Roman"/>
    </w:rPr>
  </w:style>
  <w:style w:type="paragraph" w:styleId="Contedodatabela">
    <w:name w:val="Conteúdo da tabela"/>
    <w:basedOn w:val="Normal"/>
    <w:qFormat/>
    <w:pPr/>
    <w:rPr/>
  </w:style>
  <w:style w:type="paragraph" w:styleId="Ttulodetabela">
    <w:name w:val="Título de tabela"/>
    <w:basedOn w:val="Contedodatabela"/>
    <w:qFormat/>
    <w:pPr>
      <w:suppressLineNumbers/>
      <w:jc w:val="center"/>
    </w:pPr>
    <w:rPr>
      <w:b/>
      <w:bCs/>
    </w:rPr>
  </w:style>
  <w:style w:type="paragraph" w:styleId="Ttulo1">
    <w:name w:val="Título1"/>
    <w:basedOn w:val="Normal"/>
    <w:qFormat/>
    <w:pPr>
      <w:keepNext w:val="true"/>
      <w:spacing w:before="240" w:after="120"/>
    </w:pPr>
    <w:rPr>
      <w:rFonts w:ascii="Liberation Sans" w:hAnsi="Liberation Sans" w:eastAsia="Microsoft YaHei" w:cs="Arial"/>
      <w:sz w:val="28"/>
      <w:szCs w:val="28"/>
    </w:rPr>
  </w:style>
  <w:style w:type="paragraph" w:styleId="Corpodetexto21">
    <w:name w:val="Corpo de texto 21"/>
    <w:basedOn w:val="Normal"/>
    <w:qFormat/>
    <w:pPr>
      <w:tabs>
        <w:tab w:val="clear" w:pos="708"/>
        <w:tab w:val="left" w:pos="0" w:leader="none"/>
        <w:tab w:val="left" w:pos="1134" w:leader="none"/>
      </w:tabs>
      <w:jc w:val="both"/>
      <w:textAlignment w:val="baseline"/>
    </w:pPr>
    <w:rPr>
      <w:rFonts w:ascii="Arial" w:hAnsi="Arial" w:cs="Arial"/>
      <w:szCs w:val="20"/>
    </w:rPr>
  </w:style>
  <w:style w:type="paragraph" w:styleId="NmerosPrincipais">
    <w:name w:val="Números Principais"/>
    <w:basedOn w:val="Normal"/>
    <w:qFormat/>
    <w:pPr>
      <w:spacing w:before="120" w:after="240"/>
      <w:jc w:val="both"/>
    </w:pPr>
    <w:rPr/>
  </w:style>
  <w:style w:type="paragraph" w:styleId="LetrasMultinvel">
    <w:name w:val="Letras Multinível"/>
    <w:qFormat/>
    <w:pPr>
      <w:widowControl w:val="false"/>
      <w:suppressAutoHyphens w:val="true"/>
      <w:bidi w:val="0"/>
      <w:spacing w:before="0" w:after="120"/>
      <w:jc w:val="both"/>
    </w:pPr>
    <w:rPr>
      <w:rFonts w:ascii="Liberation Serif" w:hAnsi="Liberation Serif" w:eastAsia="NSimSun" w:cs="Lucida Sans"/>
      <w:color w:val="auto"/>
      <w:kern w:val="2"/>
      <w:sz w:val="24"/>
      <w:szCs w:val="24"/>
      <w:lang w:val="pt-BR" w:eastAsia="zh-CN" w:bidi="hi-IN"/>
    </w:rPr>
  </w:style>
  <w:style w:type="paragraph" w:styleId="PargrafoNormal">
    <w:name w:val="Parágrafo Normal"/>
    <w:basedOn w:val="Normal"/>
    <w:qFormat/>
    <w:pPr>
      <w:spacing w:before="0" w:after="120"/>
      <w:jc w:val="both"/>
    </w:pPr>
    <w:rPr/>
  </w:style>
  <w:style w:type="paragraph" w:styleId="Nvel2-Red">
    <w:name w:val="Nível 2 -Red"/>
    <w:qFormat/>
    <w:pPr>
      <w:widowControl w:val="false"/>
      <w:suppressAutoHyphens w:val="true"/>
      <w:bidi w:val="0"/>
      <w:spacing w:lineRule="auto" w:line="276" w:before="120" w:after="120"/>
      <w:jc w:val="both"/>
    </w:pPr>
    <w:rPr>
      <w:rFonts w:ascii="Arial" w:hAnsi="Arial" w:eastAsia="Arial" w:cs="Arial"/>
      <w:i/>
      <w:iCs/>
      <w:color w:val="FF0000"/>
      <w:kern w:val="2"/>
      <w:sz w:val="20"/>
      <w:szCs w:val="20"/>
      <w:lang w:val="pt-BR" w:eastAsia="zh-CN" w:bidi="hi-IN"/>
    </w:rPr>
  </w:style>
  <w:style w:type="paragraph" w:styleId="Xxdefault">
    <w:name w:val="x_xdefault"/>
    <w:basedOn w:val="Normal"/>
    <w:qFormat/>
    <w:pPr>
      <w:spacing w:before="280" w:after="280"/>
    </w:pPr>
    <w:rPr/>
  </w:style>
  <w:style w:type="paragraph" w:styleId="Textodebalo">
    <w:name w:val="Texto de balão"/>
    <w:basedOn w:val="Normal"/>
    <w:qFormat/>
    <w:pPr/>
    <w:rPr>
      <w:rFonts w:ascii="Tahoma" w:hAnsi="Tahoma" w:cs="Tahoma"/>
      <w:sz w:val="16"/>
      <w:szCs w:val="16"/>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53725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lanalto.gov.br/ccivil_03/leis/lcp/lcp123.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866</TotalTime>
  <Application>LibreOffice/7.6.7.2$Windows_X86_64 LibreOffice_project/dd47e4b30cb7dab30588d6c79c651f218165e3c5</Application>
  <AppVersion>15.0000</AppVersion>
  <Pages>12</Pages>
  <Words>4640</Words>
  <Characters>26978</Characters>
  <CharactersWithSpaces>31480</CharactersWithSpaces>
  <Paragraphs>207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Ruth Barbara da Silwa Nascimento</dc:creator>
  <dc:description/>
  <dc:language>pt-BR</dc:language>
  <cp:lastModifiedBy/>
  <dcterms:modified xsi:type="dcterms:W3CDTF">2024-09-16T16:09:10Z</dcterms:modified>
  <cp:revision>129</cp:revision>
  <dc:subject/>
  <dc:title/>
</cp:coreProperties>
</file>

<file path=docProps/custom.xml><?xml version="1.0" encoding="utf-8"?>
<Properties xmlns="http://schemas.openxmlformats.org/officeDocument/2006/custom-properties" xmlns:vt="http://schemas.openxmlformats.org/officeDocument/2006/docPropsVTypes"/>
</file>